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88R4498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educational requirements for nurses.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301.157, Occupations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programs of study prescribed by the board under Subsections (a) and (b) must include a requirement that a student in the program complete a minimum number of clinical hours at a long-term care facility as defined by Section 255.001, Health and Safety Code, including a tour of a long-term 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Texas Board of Nursing shall adopt rules as necessary to implement Section 301.157(b-2),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