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4670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compensate certain property owners for damages caused by criminal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56C to read as follows:</w:t>
      </w:r>
    </w:p>
    <w:p w:rsidR="003F3435" w:rsidRDefault="0032493E">
      <w:pPr>
        <w:spacing w:line="480" w:lineRule="auto"/>
        <w:jc w:val="center"/>
      </w:pPr>
      <w:r>
        <w:rPr>
          <w:u w:val="single"/>
        </w:rPr>
        <w:t xml:space="preserve">CHAPTER 56C. </w:t>
      </w:r>
      <w:r>
        <w:rPr>
          <w:u w:val="single"/>
        </w:rPr>
        <w:t xml:space="preserve"> </w:t>
      </w:r>
      <w:r>
        <w:rPr>
          <w:u w:val="single"/>
        </w:rPr>
        <w:t xml:space="preserve">GRANT PROGRAM FOR LANDOWNER COMPENSATION FOR DAMAGES CAUSED BY CRIMINAL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56C</w:t>
      </w:r>
      <w:r>
        <w:rPr>
          <w:u w:val="single"/>
        </w:rPr>
        <w:t xml:space="preserve">.01.</w:t>
      </w:r>
      <w:r>
        <w:rPr>
          <w:u w:val="single"/>
        </w:rPr>
        <w:t xml:space="preserve"> </w:t>
      </w:r>
      <w:r>
        <w:rPr>
          <w:u w:val="single"/>
        </w:rPr>
        <w:t xml:space="preserve"> </w:t>
      </w:r>
      <w:r>
        <w:rPr>
          <w:u w:val="single"/>
        </w:rPr>
        <w:t xml:space="preserve">GRANT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includes any land the use of which qualifies the land for appraisal based on agricultural use as defined under Subchapter D, Chapter 23,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damage" means any damage as a result of the commission of an offense listed in Chapter 28,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"Trespasser" means a trespasser as defined by Section 75.007,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establish and administer a grant program to compensate landowners who suffer property damage on agricultural land by a trespasser as a result of the commission of an offense under Section 20.05 or 38.04, Penal Code, any offense under Chapter 20A, Penal Code, or any offense under Subchapter D, Chapter 481,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criteria for evaluating grant applications and awarding grants;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guidelines related to grant amounts;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this section and ensuring compliance with any conditions of the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eligibility criteria established under Subsection (c)(1) must include a requirement that the applicant promptly reported the offense to an appropriate law enforcement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use any revenue available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