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4673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heat safety protections; providing administrative and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Labor Code, is amended by adding Chapter 53 to read as follows:</w:t>
      </w:r>
    </w:p>
    <w:p w:rsidR="003F3435" w:rsidRDefault="0032493E">
      <w:pPr>
        <w:spacing w:line="480" w:lineRule="auto"/>
        <w:jc w:val="center"/>
      </w:pPr>
      <w:r>
        <w:rPr>
          <w:u w:val="single"/>
        </w:rPr>
        <w:t xml:space="preserve">CHAPTER 53.  HEAT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"Heat illness" means a serious medical condition resulting from the body's inability to cope with a particular heat load and includes heat cramps, heat exhaustion, heat syncope, and heat stroke.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"Heat safety expert" means a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possesses a certification or educational degree in public health, medicine, occupational safety, environmental science, human physiology, or a related field;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performs work focused on heat safety in the workplace.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APPLICABILITY.  This chapter applies to the mitigation and control of risks related to heat illness, regardless of the location of employment, type of employment, or type of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HEAT ILLNESS PREVENTION ADVISORY BOARD; STANDARDS.  (a)  The commission shall appoint an advisory board consisting of the following seven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heat safety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persons employed as construction workers;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employer;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representative of a non-profit organization engaged in worker safety issues;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a construction worker labor union.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appointed under this section shall develop and recommend heat illness prevention standards consistent with this chapter and designed to protect employees from heat illness in indoor and outdoor work.  The commission shall review and adopt the standards recommended by the advisory board under this section for use by employers to the extent that the standards are consistent with this chapter and other applicable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recommended by the advisory board and adopted by the commission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developed in a manner consistent with "Criteria for a Recommended Standard: Occupational Exposure to Heat and Hot Environments" published by the National Institute for Occupational Safety and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requirements related to the provision of drinking water, access to nearby shade or climate-controlled environments, access to nearby restrooms and handwashing stations, rest periods, effective emergency response procedures, acclimatization to working in heat, training procedures for employees and supervisors, and related standards for protection against heat illness;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mandatory administrative penalties of not less than $1,000 per violation per employee for an employer's failure to comply with heat illness prevention standards adopted under this section, to be assessed and administered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SIGNAGE REQUIRED.  (a)  The commission shall produce signage in English, Spanish, Vietnamese, and any other languages that the commission determines to be appropriate outlining: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heat illness prevention standards adopted by the commission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employee's rights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signage available for free download by employers and the public on the commission's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post a copy of the signage described by this section at its place of business in a place accessible by the employer's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53.005.</w:t>
      </w:r>
      <w:r>
        <w:rPr>
          <w:u w:val="single"/>
        </w:rPr>
        <w:t xml:space="preserve"> </w:t>
      </w:r>
      <w:r>
        <w:rPr>
          <w:u w:val="single"/>
        </w:rPr>
        <w:t xml:space="preserve"> </w:t>
      </w:r>
      <w:r>
        <w:rPr>
          <w:u w:val="single"/>
        </w:rPr>
        <w:t xml:space="preserve">EMPLOYEE TRAINING REQUIRED.  An employer is required to provide training to each of its employees about the heat illness prevention standards adopted under this chapter as they relate to employees, supervisors, and employers.  The training, including any related written materials, must be provided to each employee in a language that the employee understands.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53.006.</w:t>
      </w:r>
      <w:r>
        <w:rPr>
          <w:u w:val="single"/>
        </w:rPr>
        <w:t xml:space="preserve"> </w:t>
      </w:r>
      <w:r>
        <w:rPr>
          <w:u w:val="single"/>
        </w:rPr>
        <w:t xml:space="preserve"> </w:t>
      </w:r>
      <w:r>
        <w:rPr>
          <w:u w:val="single"/>
        </w:rPr>
        <w:t xml:space="preserve">UNLAWFUL EMPLOYMENT PRACTICE.  An employer commits an unlawful employment practice under this chapter if the employer retaliates or discriminates against an employee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experiences heat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reports heat illness or a violation of this chapter or other applicable standards to their employer;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files a complaint with the Texas Workforce </w:t>
      </w:r>
      <w:r>
        <w:rPr>
          <w:u w:val="single"/>
        </w:rPr>
        <w:t xml:space="preserve">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files a lawsuit;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testifies, assists, or participates in any manner in an investigation, proceeding, or hearing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53.007.</w:t>
      </w:r>
      <w:r>
        <w:rPr>
          <w:u w:val="single"/>
        </w:rPr>
        <w:t xml:space="preserve"> </w:t>
      </w:r>
      <w:r>
        <w:rPr>
          <w:u w:val="single"/>
        </w:rPr>
        <w:t xml:space="preserve"> </w:t>
      </w:r>
      <w:r>
        <w:rPr>
          <w:u w:val="single"/>
        </w:rPr>
        <w:t xml:space="preserve">LIABILITY.  (a)  In addition to any administrative penalties assessed under this chapter, an employee is entitled to a private right of action in a court of appropriate jurisdiction for an employer's failure to comply with heat illness prevention standards adopted under this chapter.  An employee is not required to exhaust applicable alternative administrative remedies before pursuing a private right of action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that prevails in an action against an employer under this section is entitled to recover from the employer all court costs and reasonable attorney fees related to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presiding over an action filed by an employee under this section finds that an employer knowingly violated the heat illness prevention standards adopted under this chapter, the court shall award the employee an amount equal to triple the amount of damages otherwise due to the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53.008.</w:t>
      </w:r>
      <w:r>
        <w:rPr>
          <w:u w:val="single"/>
        </w:rPr>
        <w:t xml:space="preserve"> </w:t>
      </w:r>
      <w:r>
        <w:rPr>
          <w:u w:val="single"/>
        </w:rPr>
        <w:t xml:space="preserve"> </w:t>
      </w:r>
      <w:r>
        <w:rPr>
          <w:u w:val="single"/>
        </w:rPr>
        <w:t xml:space="preserve">DEADLINES FOR CERTAIN ACTIONS.  (a)  The commission shall appoint the advisory board described by Section 53.003 as soon as reasonably possible after the effective date of this Act, but not later than October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shall submit recommended standards to the commission under Section 53.003 not later than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and publish the standards described by Section 53.003 not later than March 1, 2024.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and is repealed on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53, Labor Code, as added by this Act, applies only to work performed on or after the adoption and publication of the standards described by Section 53.003, Labor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