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4688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personal liability of an elected state officer of a state governmental entity for a claim brought against the entity under the whistleblower protection laws.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554, Government Code, is amended by adding Section 554.011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554.011.</w:t>
      </w:r>
      <w:r>
        <w:rPr>
          <w:u w:val="single"/>
        </w:rPr>
        <w:t xml:space="preserve"> </w:t>
      </w:r>
      <w:r>
        <w:rPr>
          <w:u w:val="single"/>
        </w:rPr>
        <w:t xml:space="preserve"> </w:t>
      </w:r>
      <w:r>
        <w:rPr>
          <w:u w:val="single"/>
        </w:rPr>
        <w:t xml:space="preserve">PERSONAL LIABILITY OF ELECTED STATE OFFICER.  (a)  An elected state officer of a state governmental entity who directs the entity to suspend or terminate the employment of, or to take other adverse personnel action against, a public employee in violation of Section 554.002 is liable in the officer's personal capacity for any amount awarded to the employee under the terms of a settlement agreement or a final judgment in a suit brought by the employee under this chapter against the state governmental entity.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elected state officer may not, in relation to the officer's personal liability under Subsection (a):</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assert official immunity or other forms of immunity as a defense;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indemnified by the state under Chapter 104, Civil Practice and Remedies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554.011, Government Code, as added by this Act, applies to an action under Chapter 554, Government Code, that is pending or filed on, before,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