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Cain</w:t>
      </w:r>
      <w:r xml:space="preserve">
        <w:tab wTab="150" tlc="none" cTlc="0"/>
      </w:r>
      <w:r>
        <w:t xml:space="preserve">H.B.</w:t>
      </w:r>
      <w:r xml:space="preserve">
        <w:t> </w:t>
      </w:r>
      <w:r>
        <w:t xml:space="preserve">No.</w:t>
      </w:r>
      <w:r xml:space="preserve">
        <w:t> </w:t>
      </w:r>
      <w:r>
        <w:t xml:space="preserve">4693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entities that provide services to rural Texans and in rural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58.093, Agriculture Code, is amended to read as follows:</w:t>
      </w:r>
    </w:p>
    <w:p w:rsidR="003F3435" w:rsidRDefault="0032493E">
      <w:pPr>
        <w:spacing w:line="480" w:lineRule="auto"/>
        <w:ind w:firstLine="720"/>
        <w:jc w:val="both"/>
      </w:pPr>
      <w:r>
        <w:t xml:space="preserve">Sec.</w:t>
      </w:r>
      <w:r xml:space="preserve">
        <w:t> </w:t>
      </w:r>
      <w:r>
        <w:t xml:space="preserve">58.093.</w:t>
      </w:r>
      <w:r xml:space="preserve">
        <w:t> </w:t>
      </w:r>
      <w:r xml:space="preserve">
        <w:t> </w:t>
      </w:r>
      <w:r>
        <w:t xml:space="preserve">AMOUNT OF GRANTS.  A grant under the young farmer grant program may not be less than $5,000 or more than </w:t>
      </w:r>
      <w:r>
        <w:rPr>
          <w:u w:val="single"/>
        </w:rPr>
        <w:t xml:space="preserve">$35,000</w:t>
      </w:r>
      <w:r>
        <w:t xml:space="preserve"> [</w:t>
      </w:r>
      <w:r>
        <w:rPr>
          <w:strike/>
        </w:rPr>
        <w:t xml:space="preserve">$20,000</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12, Agriculture Code, Subsection 12.051 is amended to read as follows:</w:t>
      </w:r>
    </w:p>
    <w:p w:rsidR="003F3435" w:rsidRDefault="0032493E">
      <w:pPr>
        <w:spacing w:line="480" w:lineRule="auto"/>
        <w:ind w:firstLine="720"/>
        <w:jc w:val="both"/>
      </w:pPr>
      <w:r>
        <w:t xml:space="preserve">Sec.</w:t>
      </w:r>
      <w:r xml:space="preserve">
        <w:t> </w:t>
      </w:r>
      <w:r>
        <w:t xml:space="preserve">12.051.</w:t>
      </w:r>
      <w:r xml:space="preserve">
        <w:t> </w:t>
      </w:r>
      <w:r xml:space="preserve">
        <w:t> </w:t>
      </w:r>
      <w:r>
        <w:t xml:space="preserve">FARMER MENTAL HEALTH AND SUICIDE PREVENTION PROGRAM.</w:t>
      </w:r>
    </w:p>
    <w:p w:rsidR="003F3435" w:rsidRDefault="0032493E">
      <w:pPr>
        <w:spacing w:line="480" w:lineRule="auto"/>
        <w:ind w:firstLine="720"/>
        <w:jc w:val="both"/>
      </w:pPr>
      <w:r>
        <w:t xml:space="preserve">(a)</w:t>
      </w:r>
      <w:r xml:space="preserve">
        <w:t> </w:t>
      </w:r>
      <w:r xml:space="preserve">
        <w:t> </w:t>
      </w:r>
      <w:r>
        <w:t xml:space="preserve">The department shall establish a farmer mental health and suicide prevention program to raise awareness among farmers of issues relating to mental health and suicide prevention.</w:t>
      </w:r>
    </w:p>
    <w:p w:rsidR="003F3435" w:rsidRDefault="0032493E">
      <w:pPr>
        <w:spacing w:line="480" w:lineRule="auto"/>
        <w:ind w:firstLine="720"/>
        <w:jc w:val="both"/>
      </w:pPr>
      <w:r>
        <w:t xml:space="preserve">(b)</w:t>
      </w:r>
      <w:r xml:space="preserve">
        <w:t> </w:t>
      </w:r>
      <w:r xml:space="preserve">
        <w:t> </w:t>
      </w:r>
      <w:r>
        <w:t xml:space="preserve">As part of the program, the department shall:</w:t>
      </w:r>
    </w:p>
    <w:p w:rsidR="003F3435" w:rsidRDefault="0032493E">
      <w:pPr>
        <w:spacing w:line="480" w:lineRule="auto"/>
        <w:ind w:firstLine="1440"/>
        <w:jc w:val="both"/>
      </w:pPr>
      <w:r>
        <w:t xml:space="preserve">(1)</w:t>
      </w:r>
      <w:r xml:space="preserve">
        <w:t> </w:t>
      </w:r>
      <w:r xml:space="preserve">
        <w:t> </w:t>
      </w:r>
      <w:r>
        <w:t xml:space="preserve">promote suicide prevention among farmers through a public awareness campaign;</w:t>
      </w:r>
    </w:p>
    <w:p w:rsidR="003F3435" w:rsidRDefault="0032493E">
      <w:pPr>
        <w:spacing w:line="480" w:lineRule="auto"/>
        <w:ind w:firstLine="1440"/>
        <w:jc w:val="both"/>
      </w:pPr>
      <w:r>
        <w:t xml:space="preserve">(2)</w:t>
      </w:r>
      <w:r xml:space="preserve">
        <w:t> </w:t>
      </w:r>
      <w:r xml:space="preserve">
        <w:t> </w:t>
      </w:r>
      <w:r>
        <w:t xml:space="preserve">provide a toll-free telephone hotline for farmer mental health assistance;</w:t>
      </w:r>
    </w:p>
    <w:p w:rsidR="003F3435" w:rsidRDefault="0032493E">
      <w:pPr>
        <w:spacing w:line="480" w:lineRule="auto"/>
        <w:ind w:firstLine="1440"/>
        <w:jc w:val="both"/>
      </w:pPr>
      <w:r>
        <w:t xml:space="preserve">(3)</w:t>
      </w:r>
      <w:r xml:space="preserve">
        <w:t> </w:t>
      </w:r>
      <w:r xml:space="preserve">
        <w:t> </w:t>
      </w:r>
      <w:r>
        <w:t xml:space="preserve">develop a mental wellness plan for farmers affected by a disaster;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coordinate suicide prevention activities with other state agencies, including the Department of State Health Services</w:t>
      </w:r>
      <w:r>
        <w:rPr>
          <w:u w:val="single"/>
        </w:rPr>
        <w:t xml:space="preserve">;</w:t>
      </w:r>
      <w:r>
        <w:t xml:space="preserve"> </w:t>
      </w:r>
      <w:r>
        <w:t xml:space="preserve">[</w:t>
      </w:r>
      <w:r>
        <w:rPr>
          <w:strike/>
        </w:rPr>
        <w:t xml:space="preserve">.</w:t>
      </w:r>
      <w:r>
        <w:t xml:space="preserv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identify counties where farmers reside and where an inadequate number of mental health providers are located;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develop strategies to increase the number of mental health providers located in those counties.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D, Chapter 48, Education Code, is amended by adding Section 48.114(d)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mentor teacher who provides services at a rural campus, as defined by Section 48.112(a) shall be eligible for compensation in excess of the amounts provided in Subsection (c) if the district is able to fund such compensation from sources other than the mentor program allotment.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H, Chapter 301, Occupations Code, is amended by adding Sections 301.357 and 301.358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301.357.</w:t>
      </w:r>
      <w:r>
        <w:rPr>
          <w:u w:val="single"/>
        </w:rPr>
        <w:t xml:space="preserve"> </w:t>
      </w:r>
      <w:r>
        <w:rPr>
          <w:u w:val="single"/>
        </w:rPr>
        <w:t xml:space="preserve"> </w:t>
      </w:r>
      <w:r>
        <w:rPr>
          <w:u w:val="single"/>
        </w:rPr>
        <w:t xml:space="preserve">PRACTICE IN RURAL HELTHCARE AREAS BY CERTAIN ADVANCED PRACTICE REGISTERED NURSES. </w:t>
      </w:r>
      <w:r>
        <w:rPr>
          <w:u w:val="single"/>
        </w:rPr>
        <w:t xml:space="preserve"> </w:t>
      </w:r>
      <w:r>
        <w:rPr>
          <w:u w:val="single"/>
        </w:rPr>
        <w:t xml:space="preserve">(a) </w:t>
      </w:r>
      <w:r>
        <w:rPr>
          <w:u w:val="single"/>
        </w:rPr>
        <w:t xml:space="preserve"> </w:t>
      </w:r>
      <w:r>
        <w:rPr>
          <w:u w:val="single"/>
        </w:rPr>
        <w:t xml:space="preserve">This section and Section 301.358 apply to a licensed advanced practice registered nurse only if 85% or more of the nurse's services are provided in a rural healthcare area.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this section and Section 301.358:</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"advanced practice registered nurse" has the meaning assigned by Section 301.152(a);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"controlled substance" has the meaning assigned by Section 481.002, Health and Safety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"dangerous drug" has the meaning assigned by Section 483.001, Health and Safety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"device" has the meaning assigned by Section 551.003, and includes durable medical equipment;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"licensed rural practitioner" means a licensed advanced practice registered nurse authorized by the board to practice under this section and under Section 301.358 in accordance with standards established and recognized by the board to protect the public health and safety;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"nonprescription drug" has the meaning assigned by Section 551.003;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"rural healthcare area" has the meaning assigned by Section 12.052, Agriculture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board shall authorize the practice under this section and Section 301.358 of an advanced practice registered nurse who applies in the manner the board prescribes by rule and who meets the requirements for authorization.  An advanced practice registered nurse who applies for authorization must file an affidavit with the board demonstrating that the nurse meets the requirements of Subsection (a).</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board by rule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standards for licensed rural practitioners to protect the public health and safety;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guidelines for continuing education for licensed rural practitioners that are not subject to the limitations of Section 301.303(b).</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scope of practice of a licensed rural practitioner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ordering, performing, and interpreting diagnostic tests;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formulating primary and differential medical diagnoses and advanced assessments;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treating actual and potential health problems;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prescribing therapeutic and corrective measures, including nutrition and diagnostic support services, home health care, hospice care, physical therapy, and occupational therapy, and delegating and assigning the performance of therapeutic and corrective measures to assistive personnel;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to the extent authorized by the board under Section 301.358, prescribing, ordering, procuring, administering, and dispensing drugs and devices, including blood and blood products, controlled substances listed in Schedules II, III, IV, and V, dangerous drugs, and nonprescription drugs;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providing referrals to health care agencies, health care providers, and community resources;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serving as the primary care provider of record;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performing other acts that require education and training consistent with professional standards and that are commensurate with the licensed rural practitioner's education, license, authorization to practice under this section and Section 301.358, and competencies and experience.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licensed rural practitioner is accountable to patients, the nursing profession, and the board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complying with the requirements of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providing quality advanced nursing care;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recognizing the nurse's limits of knowledge;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planning for the management of situations beyond the nurse's expertise;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consulting with or referring patients to other health care providers as appropriate.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This section does not limit or modify the scope of practice of a nurse who is not authorized to practice under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law that authorizes a licensed physician assistant or advanced practice registered nurse acting on behalf of or under authority delegated by a physician to take an action is considered to authorize a licensed rural practitioner to take the action.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301.358.</w:t>
      </w:r>
      <w:r>
        <w:rPr>
          <w:u w:val="single"/>
        </w:rPr>
        <w:t xml:space="preserve"> </w:t>
      </w:r>
      <w:r>
        <w:rPr>
          <w:u w:val="single"/>
        </w:rPr>
        <w:t xml:space="preserve"> </w:t>
      </w:r>
      <w:r>
        <w:rPr>
          <w:u w:val="single"/>
        </w:rPr>
        <w:t xml:space="preserve">PRESCRIBING AND ORDERING AUTHORITY OF LICENSED RURAL PRACTITIONER.  (a)  The board by rule may authorize a licensed rural practitioner to prescribe and order drugs and devices, including controlled substances listed in Schedules II, III, IV, and V, dangerous drugs, and nonprescription drugs.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may establish the level of demonstrated proficiency required to take authorized actions under the rules adopted under Subsection (a).</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12, Agriculture Code, is amended by adding Section 12.052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12.052</w:t>
      </w:r>
      <w:r>
        <w:rPr>
          <w:u w:val="single"/>
        </w:rPr>
        <w:t xml:space="preserve"> </w:t>
      </w:r>
      <w:r>
        <w:rPr>
          <w:u w:val="single"/>
        </w:rPr>
        <w:t xml:space="preserve"> </w:t>
      </w:r>
      <w:r>
        <w:rPr>
          <w:u w:val="single"/>
        </w:rPr>
        <w:t xml:space="preserve">RURAL HEALTHCARE AREAS.  (a) </w:t>
      </w:r>
      <w:r>
        <w:rPr>
          <w:u w:val="single"/>
        </w:rPr>
        <w:t xml:space="preserve"> </w:t>
      </w:r>
      <w:r>
        <w:rPr>
          <w:u w:val="single"/>
        </w:rPr>
        <w:t xml:space="preserve">A "Rural Healthcare Area" is defined 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location in a rural county as defined by Section 487.301, Government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Rural Health Facility Capital Improvement Program defined entity;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location where a person whose primary residence is in a rural county as defined by Section 487.301, Government Code receives healthcare.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61.9606, Education Code is amended to read as follows:</w:t>
      </w:r>
    </w:p>
    <w:p w:rsidR="003F3435" w:rsidRDefault="0032493E">
      <w:pPr>
        <w:spacing w:line="480" w:lineRule="auto"/>
        <w:ind w:firstLine="720"/>
        <w:jc w:val="both"/>
      </w:pPr>
      <w:r>
        <w:t xml:space="preserve">Sec.</w:t>
      </w:r>
      <w:r xml:space="preserve">
        <w:t> </w:t>
      </w:r>
      <w:r>
        <w:t xml:space="preserve">61.9606.</w:t>
      </w:r>
      <w:r xml:space="preserve">
        <w:t> </w:t>
      </w:r>
      <w:r xml:space="preserve">
        <w:t> </w:t>
      </w:r>
      <w:r>
        <w:t xml:space="preserve">REPAYMENT.  (a) </w:t>
      </w:r>
      <w:r>
        <w:t xml:space="preserve"> </w:t>
      </w:r>
      <w:r>
        <w:t xml:space="preserve">Except as provided by Section 61.9609(a), the board shall provide repayment assistance under this subchapter in the following amounts:</w:t>
      </w:r>
    </w:p>
    <w:p w:rsidR="003F3435" w:rsidRDefault="0032493E">
      <w:pPr>
        <w:spacing w:line="480" w:lineRule="auto"/>
        <w:ind w:firstLine="1440"/>
        <w:jc w:val="both"/>
      </w:pPr>
      <w:r>
        <w:t xml:space="preserve">(1)</w:t>
      </w:r>
      <w:r xml:space="preserve">
        <w:t> </w:t>
      </w:r>
      <w:r xml:space="preserve">
        <w:t> </w:t>
      </w:r>
      <w:r>
        <w:t xml:space="preserve">[</w:t>
      </w:r>
      <w:r>
        <w:rPr>
          <w:strike/>
        </w:rPr>
        <w:t xml:space="preserve">60</w:t>
      </w:r>
      <w:r>
        <w:t xml:space="preserve">] </w:t>
      </w:r>
      <w:r>
        <w:rPr>
          <w:u w:val="single"/>
        </w:rPr>
        <w:t xml:space="preserve">75</w:t>
      </w:r>
      <w:r>
        <w:t xml:space="preserve"> percent of each payment due on an attorney's eligible loans during the first 12-month period after the attorney enters into the agreement under Section 61.9605;</w:t>
      </w:r>
    </w:p>
    <w:p w:rsidR="003F3435" w:rsidRDefault="0032493E">
      <w:pPr>
        <w:spacing w:line="480" w:lineRule="auto"/>
        <w:ind w:firstLine="1440"/>
        <w:jc w:val="both"/>
      </w:pPr>
      <w:r>
        <w:t xml:space="preserve">(2)</w:t>
      </w:r>
      <w:r xml:space="preserve">
        <w:t> </w:t>
      </w:r>
      <w:r xml:space="preserve">
        <w:t> </w:t>
      </w:r>
      <w:r>
        <w:t xml:space="preserve">80 percent of each payment due on an attorney's eligible loans during the second 12-month period after the attorney enters into the agreement; and</w:t>
      </w:r>
    </w:p>
    <w:p w:rsidR="003F3435" w:rsidRDefault="0032493E">
      <w:pPr>
        <w:spacing w:line="480" w:lineRule="auto"/>
        <w:ind w:firstLine="1440"/>
        <w:jc w:val="both"/>
      </w:pPr>
      <w:r>
        <w:t xml:space="preserve">(3)</w:t>
      </w:r>
      <w:r xml:space="preserve">
        <w:t> </w:t>
      </w:r>
      <w:r xml:space="preserve">
        <w:t> </w:t>
      </w:r>
      <w:r>
        <w:t xml:space="preserve">100 percent of each payment due on an attorney's eligible loans during the third 12-month period after the attorney enters into the agreement.</w:t>
      </w:r>
    </w:p>
    <w:p w:rsidR="003F3435" w:rsidRDefault="0032493E">
      <w:pPr>
        <w:spacing w:line="480" w:lineRule="auto"/>
        <w:ind w:firstLine="720"/>
        <w:jc w:val="both"/>
      </w:pPr>
      <w:r>
        <w:t xml:space="preserve">(b)</w:t>
      </w:r>
      <w:r xml:space="preserve">
        <w:t> </w:t>
      </w:r>
      <w:r xml:space="preserve">
        <w:t> </w:t>
      </w:r>
      <w:r>
        <w:t xml:space="preserve">The board shall deliver any repayment assistance made under this subchapter in a lump sum payable to the lender and the attorney and in accordance with any applicable federal law.</w:t>
      </w:r>
    </w:p>
    <w:p w:rsidR="003F3435" w:rsidRDefault="0032493E">
      <w:pPr>
        <w:spacing w:line="480" w:lineRule="auto"/>
        <w:ind w:firstLine="720"/>
        <w:jc w:val="both"/>
      </w:pPr>
      <w:r>
        <w:t xml:space="preserve">(c)</w:t>
      </w:r>
      <w:r xml:space="preserve">
        <w:t> </w:t>
      </w:r>
      <w:r xml:space="preserve">
        <w:t> </w:t>
      </w:r>
      <w:r>
        <w:t xml:space="preserve">Loan repayment assistance received under this subchapter may be applied to the principal amount of the loan and to interest that accrues.</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change in law made by Section 1 applies to a grant issued on or after the effective date of this Act. </w:t>
      </w:r>
      <w:r>
        <w:t xml:space="preserve"> </w:t>
      </w:r>
      <w:r>
        <w:t xml:space="preserve">A grant issued before the effective date of this Act is governed by the law in effect on the date the grant is issued, and the former law is continued in effect for that purpose.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 later than February 1, 2024, the Texas Board of Nursing shall adopt the rules necessary to implement the changes in law made by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4693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