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88R19565 KKR-F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Noble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4694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4694: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Hull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4694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training required or offered by the Health and Human Services Commission for long-term care facility surveyors, personnel, and providers and ICF-IID program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247.066(h),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533A.066,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Sections 22.039(b-1) and (b-2), Human Resources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4694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