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88R14068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4698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evaluation of data related to child care programs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302.0043, Labor Code, is amended by adding Subsections (c-2), (c-3), and (c-4)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 shall measure and evaluate the need for and availability of child care in this state.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places available at all child care providers in each local workforce development area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subsidized and nonsubsidized places;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filled and unfilled places;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 care providers participating in the Texas Rising Star Program and child care providers not participating in the Texas Rising Star Program;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those child care providers participating in the Texas Rising Star Program, the provider's Rising Star rating;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children receiving child care services in each local workforce development area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receiving subsidized child care and children receiving nonsubsidized child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care providers participating in the Texas Rising Star Program and child care providers not participating in the Texas Rising Star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those child care providers participating in the Texas Rising Star Program, the provider's Rising Star rating;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children on a waiting list to receive child care in each local workforce development area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waiting for a subsidized place;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waiting for a nonsubsidized place.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commission shall to the extent possible compare the data under Subsections (c-2)(2) and (3) to ensure there are no children counted under both subdivisions.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commission shall coordinate with the Health and Human Services Commission to acquire data required under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302.00432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302.00432.</w:t>
      </w:r>
      <w:r>
        <w:rPr>
          <w:u w:val="single"/>
        </w:rPr>
        <w:t xml:space="preserve"> </w:t>
      </w:r>
      <w:r>
        <w:rPr>
          <w:u w:val="single"/>
        </w:rPr>
        <w:t xml:space="preserve"> </w:t>
      </w:r>
      <w:r>
        <w:rPr>
          <w:u w:val="single"/>
        </w:rPr>
        <w:t xml:space="preserve">DATA REPORTING PILOT PROGRAM.  (a) In this section, "program" means the enhanced child care data reporting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implement an enhanced child care data reporting pilot program to enhance the commission's ability to measure the need for and availability of child care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partner with local workforce development boards to conduct outreach to child care providers and to recruit providers to participate in the program. </w:t>
      </w:r>
      <w:r>
        <w:rPr>
          <w:u w:val="single"/>
        </w:rPr>
        <w:t xml:space="preserve"> </w:t>
      </w:r>
      <w:r>
        <w:rPr>
          <w:u w:val="single"/>
        </w:rPr>
        <w:t xml:space="preserve">The commission shall ensure that participants in the program represent geographically and demographically different areas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care provider participating in the program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places available at the provider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subsidized and nonsubsidized places;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filled and unfilled places;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the provider's facility in comparison to the number of places available;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places currently available in comparison to the number of places that would be available at the provider's maximum operational capacity;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children on a waiting list to receive child care from the provider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waiting for a subsidized place;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waiting for a nonsubsidized place;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employees who left employment with the provider in the preceding year compared to the number of additional employees the provider would need to operate at maximum operational capacity.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to the extent possible compare the data collected under the program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children are counted under both the total number of children enrolled in a child care program and the total number of children on a waiting list to receive child care in a local workforce development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 children are counted on multiple waiting lists when determining the number of children waiting for child care in a local workforce development area.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sort data provided under this section by local workforce development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work with the Health and Human Services Commission to make joint recommendations to the legislature on the development of an information technology system that allows for the regular reporting and collection of the data collected under the program statewide.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2024, the commission shall provide a report to the legislature.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workforce development boards that participated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types and characteristics of child care providers in each local workforce development area that participated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data collected through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to the legislature to improve the availability of child care in this state, including the recommendations developed under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use any available funding to implement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ensure that no personally identifiable information is disclosed in the report or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