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4714 was passed by the House on May 6, 2023, by the following vote:</w:t>
      </w:r>
      <w:r xml:space="preserve">
        <w:t> </w:t>
      </w:r>
      <w:r xml:space="preserve">
        <w:t> </w:t>
      </w:r>
      <w:r>
        <w:t xml:space="preserve">Yeas 127, Nays 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4714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