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4725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maximum maturity of certain refunding bonds issued by conservation and reclamation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1207.006, Government Code, is amended to read as follows:</w:t>
      </w:r>
    </w:p>
    <w:p w:rsidR="003F3435" w:rsidRDefault="0032493E">
      <w:pPr>
        <w:spacing w:line="480" w:lineRule="auto"/>
        <w:ind w:firstLine="720"/>
        <w:jc w:val="both"/>
      </w:pPr>
      <w:r>
        <w:rPr>
          <w:u w:val="single"/>
        </w:rPr>
        <w:t xml:space="preserve">(a)</w:t>
      </w:r>
      <w:r xml:space="preserve">
        <w:t> </w:t>
      </w:r>
      <w:r xml:space="preserve">
        <w:t> </w:t>
      </w:r>
      <w:r>
        <w:t xml:space="preserve">A refunding bond issued under this chapter must mature not later than 40 years after its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refunding bonds issued by a conservation and reclamation district to refund bonds issued for projects, improvements, land, and facilities to convert areas from groundwater to surface water.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