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4727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altering of election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276.019, Election Code, is amended to read as follows:  </w:t>
      </w:r>
      <w:r>
        <w:rPr>
          <w:u w:val="single"/>
        </w:rPr>
        <w:t xml:space="preserve">(a)</w:t>
      </w:r>
      <w:r>
        <w:t xml:space="preserve">  A public official or election official may not create, alter, modify, waive, or suspend any election standard, practice, or procedure mandated by law or rule in a manner not expressly authorized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receiving or discovering information indicating that a public official or election official has violated this section, the Secretary of State shall order that person to correct the offending conduct through written notice that includes a description of the violation and an explanation of the action necessary for compliance and of the consequences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described by Subsection (b) fails to comply with an order from the Secretary of State under this section within the second day following,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Attorney General that the official may be subject to a civil penalty under subsection (d)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to the Attorney General all pertinent documents and information in the secretary's possession.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documents and information submitted under Subsection (c) are not considered public information until: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makes a determination that the information received does not warrant an investigation;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referred to the Attorney General, the Attorney General has completed the investigation or has made a determination that the information referred does not warrant an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is liable to this state for a civil penalty of $1,000 for each day after the second day following the receipt of the written notice that the public official or election official fails to take affirmative action to comply with the corrective actions identified by the Secretary of State.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civil penalty referenced in Subsection(d) shall increase to $5,000 for each day following the 7th day that the public official or election official fails to take affirmative action to comply with the corrective actions identified by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