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88R12213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Tinderholt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an advanced practice registered nurse to sign a health exception to an immunization requirement for school admission.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38.001(c),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Immunization is not required for a person's admission to any elementary or secondary school if the person applying for admission: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submits to the admitting official: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affidavit or a certificate signed by a physician who is duly registered and licensed to practice medicine in the United States </w:t>
      </w:r>
      <w:r>
        <w:rPr>
          <w:u w:val="single"/>
        </w:rPr>
        <w:t xml:space="preserve">or an advanced practice registered nurse who is licensed to practice advanced practice registered nursing in the United States</w:t>
      </w:r>
      <w:r>
        <w:t xml:space="preserve">[</w:t>
      </w:r>
      <w:r>
        <w:rPr>
          <w:strike/>
        </w:rPr>
        <w:t xml:space="preserve">,</w:t>
      </w:r>
      <w:r>
        <w:t xml:space="preserve">] in which it is stated that, in the physician's </w:t>
      </w:r>
      <w:r>
        <w:rPr>
          <w:u w:val="single"/>
        </w:rPr>
        <w:t xml:space="preserve">or advanced practice registered nurse's</w:t>
      </w:r>
      <w:r>
        <w:t xml:space="preserve"> opinion, the immunization required poses a significant risk to the health and well-being of the applicant or any member of the applicant's family or household;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affidavit signed by the applicant or, if a minor, by the applicant's parent or guardian stating that the applicant declines immunization for reasons of conscience, including a religious belief;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 member of the armed forces of the United States and is on active duty.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