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88R25719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Cameron, Longoria, Kitzman,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4742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Guerra, Gamez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4742: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Uvalde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4742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by the Texas Water Development Board of issues faced by communities with artificial drainage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In this Act, "artificial drainage system" means a system to remove floodwater in a community that lacks topographic relief, slope, and naturally defined floodways.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Texas Water Development Board, before January 1, 2025,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study issues faced by communities with artificial drainage systems;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prepare a written report that contains possible recommendations relating to addressing identified issues facing those communities.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4742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