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88R25131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Gervin-Hawkins, Flores,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4752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4752: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4752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Texas Historical Commission to create a program to identify and restore Rosenwald Schools structures.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442, Government Code, is amended by adding Section 442.034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442.034.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ROSENWALD SCHOOLS STRUCTURES PROGRAM.  (a)  The commission shall establish a program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identify, renovate, restore, maintain, and preserve Rosenwald Schools structures, and their contents, located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 the historical and architectural integrity of the exterior, interior, and grounds of the Rosenwald Schools structures.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may, as part of the program, acquire property containing a Rosenwald School structure.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Rosenwald School structure restored, repaired, or renovated under the program may be used as a community learning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accept gifts, grants, and in-kind donations from public and private entities to implement the program.  The legislature may appropriate money to the commission to implement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reasonably necessary to implement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Historical Commission shall first implement the program established by Section 442.034, Government Code, as added by this Act, in the south central region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4752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