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88R16348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conducted by the Texas Historical Commission regarding the repair and renovation of Rosenwald school structures located in the south central region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STUDY.  (a)  In this Act, "commission" means the Texas Historical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conduct a study to assess the funding needed to repair and renovate Rosenwald school structures in the south central region of this state. The study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include an inventory of Rosenwald school structures and a determination of the condition of each structure;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based on the inventory under Subdivision (1) of this section, assess the need for funding for repair and renovation of the Rosenwald school structures;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develop a financial plan for repair and renovation of the Rosenwald school structures, including options for funding through state appropriations and other sources;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examine the feasibility of using the Rosenwald school structures as community learning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 under this section, the commission shall consult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Prairie View A&amp;M University;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counties and municipalities in which Rosenwald school structures are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September 1, 2024, the commission shall prepare and submit to the legislature a written report summarizing the results of the study. The report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recommendations for legislative or other action;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other matters the Texas Historical Commission considers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 This Act expires December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