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88R1791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H.B.</w:t>
      </w:r>
      <w:r xml:space="preserve">
        <w:t> </w:t>
      </w:r>
      <w:r>
        <w:t xml:space="preserve">No.</w:t>
      </w:r>
      <w:r xml:space="preserve">
        <w:t> </w:t>
      </w:r>
      <w:r>
        <w:t xml:space="preserve">4753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distribution of an application for a ballot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84.0111(a),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w:t>
      </w:r>
      <w:r xml:space="preserve">
        <w:t> </w:t>
      </w:r>
      <w:r>
        <w:t xml:space="preserve">[</w:t>
      </w:r>
      <w:r>
        <w:rPr>
          <w:strike/>
        </w:rPr>
        <w:t xml:space="preserve">Except as provided by Subsection (c) or as otherwise authorized by this code, an</w:t>
      </w:r>
      <w:r>
        <w:t xml:space="preserve">] officer or employee of this state or of a political subdivision of this state may not distribute an application form for an early voting ballot to a person who did not request an application under Section 84.001.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84.0111(c), Election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application form for an early voting ballot distributed on or after the effective date of this Act.  The distribution of an application form for an early voting ballot before the effective date of this Act is governed by the law in effect on the date the application was distributed,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