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88R10180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Tinderholt</w:t>
      </w:r>
      <w:r xml:space="preserve">
        <w:tab wTab="150" tlc="none" cTlc="0"/>
      </w:r>
      <w:r>
        <w:t xml:space="preserve">H.B.</w:t>
      </w:r>
      <w:r xml:space="preserve">
        <w:t> </w:t>
      </w:r>
      <w:r>
        <w:t xml:space="preserve">No.</w:t>
      </w:r>
      <w:r xml:space="preserve">
        <w:t> </w:t>
      </w:r>
      <w:r>
        <w:t xml:space="preserve">4754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and prohibitions on gender transitioning procedures and treatments provided to certain individuals;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Millstone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161, Health and Safety Code, is amended by adding Subchapter X to read as follows:</w:t>
      </w:r>
    </w:p>
    <w:p w:rsidR="003F3435" w:rsidRDefault="0032493E">
      <w:pPr>
        <w:spacing w:line="480" w:lineRule="auto"/>
        <w:jc w:val="center"/>
      </w:pPr>
      <w:r>
        <w:rPr>
          <w:u w:val="single"/>
        </w:rPr>
        <w:t xml:space="preserve">SUBCHAPTER X. GENDER TRANSITION PROCEDURES OR TREATMENTS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"Biological sex" means the biological indication of male or female in the context of reproductive potential or capacity, such as sex chromosomes, naturally occurring sex hormones, gonads, and nonambiguous internal and external genitalia present at birth, without regard to an individual's psychological, chosen, or subjective experience of gender.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"Cross-sex hormones"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testosterone or other androgens provided to a biological female in a more potent amount than would naturally occur in a healthy biological female;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estrogen provided to a biological male in a more potent amount than would naturally occur in a healthy biological male.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"Gender" means the psychological, behavioral, social, and cultural aspects of being male or female.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"Gender reassignment surgery" means a medical procedure performed for the purpose of surgically altering or removing healthy anatomical characteristics typical for the individual's biological sex to instill physiological or anatomical characteristics that resemble a sex different than the individual's biological sex. The term includes genital or nongenital gender reassignment surgery performed for the purpose of assisting an individual with a gender transition.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"Gender transition"  means the process by which an individual progresses from identifying with and living as the gender that corresponds to the individual's biological sex to identifying with and living as a gender different than the individual's biological sex. The term includes social, legal, or physical changes to an individual.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"Gender transition procedure or treatment" means a medical or surgical procedure or treatment, including a physician's services, inpatient and outpatient hospital services, and prescription drugs, related to gender transition that seeks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alter or remove anatomical characteristics typical for the individual's biological sex;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instill physiological or anatomical characteristics that resemble a sex different from the individual's biological sex,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medical services that provide puberty-blocking drugs, cross-sex hormones, or other mechanisms to promote the development of feminizing or masculinizing features in the opposite biological sex;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genital or nongenital gender reassignment surgery performed for the purpose of assisting an individual with a gender transition.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"Genital gender reassignment surgery" means a medical procedure related to an individual's genitals and performed for the purpose of assisting the individual with a gender transition,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surgical procedures such as penectomy, orchiectomy, vaginoplasty, clitoroplasty, or vulvoplasty for biologically male patients or hysterectomy or oophorectomy for biologically female patients;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reconstruction of the fixed part of the urethra with or without a metoidioplasty;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phalloplasty, vaginectomy, scrotoplasty, or implantation of erection or testicular prostheses for biologically female patients.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"Health care professional" means an individual other than a physician who is licensed, certified, or otherwise authorized by this state's laws to administer health care in the ordinary course of business or practice of a profession.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"Nongenital gender reassignment surgery" means a medical procedure that is not a genital gender reassignment surgery and is performed for the purpose of assisting an individual with a physical gender transition, including the following surgical procedures: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either a biological male or female: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liposuction or lipofilling;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various aesthetic procedures;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biological male: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augmentation mammoplasty;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facial feminization surgery;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voice feminization surgery;</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thyroid cartilage reduction;</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gluteal augmentation; or</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hair reconstruction;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biological female: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subcutaneous mastectomy;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voice masculinization surgery;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pectoral implants.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"Physician" means a person licensed to practice medicine in this state.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"Puberty-blocking drug" means a drug used to delay or suppress normal puberty development in children for the purpose of assisting an individual with a gender transition,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biological male, a gonadotropin-releasing hormone analogue or other synthetic drug prescribed to stop luteinizing hormone secretion and testosterone secretion;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biological female, a synthetic drug prescribed to stop the production of estrogen and progesterone.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"Public money"</w:t>
      </w:r>
      <w:r>
        <w:rPr>
          <w:u w:val="single"/>
        </w:rPr>
        <w:t xml:space="preserve"> </w:t>
      </w:r>
      <w:r>
        <w:rPr>
          <w:u w:val="single"/>
        </w:rPr>
        <w:t xml:space="preserve">means money of this state, a state agency, or a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161.702.</w:t>
      </w:r>
      <w:r>
        <w:rPr>
          <w:u w:val="single"/>
        </w:rPr>
        <w:t xml:space="preserve"> </w:t>
      </w:r>
      <w:r>
        <w:rPr>
          <w:u w:val="single"/>
        </w:rPr>
        <w:t xml:space="preserve"> </w:t>
      </w:r>
      <w:r>
        <w:rPr>
          <w:u w:val="single"/>
        </w:rPr>
        <w:t xml:space="preserve">APPLICABILITY.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procedure, treatment, or service provided to an individual who is born with a medically verifiable genetic disorder of sex development,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46,XX chromosomes with virilization;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46,XY chromosomes with undervirilization;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both ovarian and testicular tissue;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procedure, treatment, or service provided to an individual who does not have the normal sex chromosome structure, sex steroid production, or sex steroid hormone action for male or female as determined by a physician through genetic testing or biochemical testing;</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treatment of an infection, injury, disease, or disorder that has been caused by or exacerbated by the performance of a gender transition procedure or treatment, regardless of whether: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gender transition procedure or treatment was performed in accordance with state and federal law;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funding for the gender transition procedure or treatment is permissible under this subchapter;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procedure undertaken because the individual suffers from a physical disorder, injury, or illness that would, as certified by a physician, place the individual in imminent danger of death or impairment of a major bodily function unless the procedure is performed.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161.703.</w:t>
      </w:r>
      <w:r>
        <w:rPr>
          <w:u w:val="single"/>
        </w:rPr>
        <w:t xml:space="preserve"> </w:t>
      </w:r>
      <w:r>
        <w:rPr>
          <w:u w:val="single"/>
        </w:rPr>
        <w:t xml:space="preserve"> </w:t>
      </w:r>
      <w:r>
        <w:rPr>
          <w:u w:val="single"/>
        </w:rPr>
        <w:t xml:space="preserve">CONSTRUCTION OF SUBCHAPTER.  This subchapter may not be construed to deny, impair, or otherwise affect any right or authority of the attorney general, this state, or any agency, officer, or employee of this state, acting under any law other than this subchapter, to bring or intervene in an action brought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161.704.</w:t>
      </w:r>
      <w:r>
        <w:rPr>
          <w:u w:val="single"/>
        </w:rPr>
        <w:t xml:space="preserve"> </w:t>
      </w:r>
      <w:r>
        <w:rPr>
          <w:u w:val="single"/>
        </w:rPr>
        <w:t xml:space="preserve"> </w:t>
      </w:r>
      <w:r>
        <w:rPr>
          <w:u w:val="single"/>
        </w:rPr>
        <w:t xml:space="preserve">PROHIBITED PROVISION OF GENDER TRANSITION PROCEDURES OR TREATMENTS.  A physician or health care professional, including a physician or health care professional employed by or practicing in a facility owned by this state or a political subdivision,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gender transition procedure or treatment to an individual younger than 26 years of age;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 an individual younger than 26 years of age to a physician or health care professional for a gender transition procedure or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161.705.</w:t>
      </w:r>
      <w:r>
        <w:rPr>
          <w:u w:val="single"/>
        </w:rPr>
        <w:t xml:space="preserve"> </w:t>
      </w:r>
      <w:r>
        <w:rPr>
          <w:u w:val="single"/>
        </w:rPr>
        <w:t xml:space="preserve"> </w:t>
      </w:r>
      <w:r>
        <w:rPr>
          <w:u w:val="single"/>
        </w:rPr>
        <w:t xml:space="preserve">PROHIBITED USE OF PUBLIC MONEY.  Public money may not directly or indirectly be used, granted, paid, or otherwise distributed to a person who provides gender transition procedures or treatment to individuals younger than 26 years of 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161.706.</w:t>
      </w:r>
      <w:r>
        <w:rPr>
          <w:u w:val="single"/>
        </w:rPr>
        <w:t xml:space="preserve"> </w:t>
      </w:r>
      <w:r>
        <w:rPr>
          <w:u w:val="single"/>
        </w:rPr>
        <w:t xml:space="preserve"> </w:t>
      </w:r>
      <w:r>
        <w:rPr>
          <w:u w:val="single"/>
        </w:rPr>
        <w:t xml:space="preserve">PROHIBITED MEDICAID REIMBURSEMENT.  The commission may not provide Medicaid reimbursement to a provider for a gender transition procedure or treatment to an individual younger than 26 years of 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161.707.</w:t>
      </w:r>
      <w:r>
        <w:rPr>
          <w:u w:val="single"/>
        </w:rPr>
        <w:t xml:space="preserve"> </w:t>
      </w:r>
      <w:r>
        <w:rPr>
          <w:u w:val="single"/>
        </w:rPr>
        <w:t xml:space="preserve"> </w:t>
      </w:r>
      <w:r>
        <w:rPr>
          <w:u w:val="single"/>
        </w:rPr>
        <w:t xml:space="preserve">CRIMINAL OFFENSE. </w:t>
      </w:r>
      <w:r>
        <w:rPr>
          <w:u w:val="single"/>
        </w:rPr>
        <w:t xml:space="preserve"> </w:t>
      </w:r>
      <w:r>
        <w:rPr>
          <w:u w:val="single"/>
        </w:rPr>
        <w:t xml:space="preserve">(a) A physician or health care professional who knowingly violates Section 161.704 commits an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indictment for an offense under this section must be presented within 40 years from the date of the commission of the offense, and not afterward.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161.708.</w:t>
      </w:r>
      <w:r>
        <w:rPr>
          <w:u w:val="single"/>
        </w:rPr>
        <w:t xml:space="preserve"> </w:t>
      </w:r>
      <w:r>
        <w:rPr>
          <w:u w:val="single"/>
        </w:rPr>
        <w:t xml:space="preserve"> </w:t>
      </w:r>
      <w:r>
        <w:rPr>
          <w:u w:val="single"/>
        </w:rPr>
        <w:t xml:space="preserve">DISCIPLINARY ACTION. </w:t>
      </w:r>
      <w:r>
        <w:rPr>
          <w:u w:val="single"/>
        </w:rPr>
        <w:t xml:space="preserve"> </w:t>
      </w:r>
      <w:r>
        <w:rPr>
          <w:u w:val="single"/>
        </w:rPr>
        <w:t xml:space="preserve">(a) </w:t>
      </w:r>
      <w:r>
        <w:rPr>
          <w:u w:val="single"/>
        </w:rPr>
        <w:t xml:space="preserve"> </w:t>
      </w:r>
      <w:r>
        <w:rPr>
          <w:u w:val="single"/>
        </w:rPr>
        <w:t xml:space="preserve">The Texas Medical Board or another state regulatory agency with jurisdiction over a health care provider subject to Section 161.704 shall revoke the license, certification, or authorization of a physician or health care provider who the board or agency determines has violated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Disciplinary action described by Subsection (a) must be taken not later than the 40th anniversary of the date of the violation of Section 161.704.</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161.709.</w:t>
      </w:r>
      <w:r>
        <w:rPr>
          <w:u w:val="single"/>
        </w:rPr>
        <w:t xml:space="preserve"> </w:t>
      </w:r>
      <w:r>
        <w:rPr>
          <w:u w:val="single"/>
        </w:rPr>
        <w:t xml:space="preserve"> </w:t>
      </w:r>
      <w:r>
        <w:rPr>
          <w:u w:val="single"/>
        </w:rPr>
        <w:t xml:space="preserve">CIVIL ACTION.  (a)  Notwithstanding any other law, an individual may bring an action for damages incurred as a result of a gender transition procedure or treatment performed on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through the individual's parent, guardian, or next friend, if the individual is under 18 years of 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individual's own name, not later than the 40th anniversary after the date the individual attains 18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award to the prevailing claimant: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declaratory relief;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appropriate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award a claimant prevailing in an action brought under this section reasonable attorney's fees incurred in bringing the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an action brought under this section may be commenced, and relief may be granted, in a judicial proceeding without regard to whether the individual commencing the action has sought or exhausted available administrative remedies.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161.710.</w:t>
      </w:r>
      <w:r>
        <w:rPr>
          <w:u w:val="single"/>
        </w:rPr>
        <w:t xml:space="preserve"> </w:t>
      </w:r>
      <w:r>
        <w:rPr>
          <w:u w:val="single"/>
        </w:rPr>
        <w:t xml:space="preserve"> </w:t>
      </w:r>
      <w:r>
        <w:rPr>
          <w:u w:val="single"/>
        </w:rPr>
        <w:t xml:space="preserve">ATTORNEY GENERAL ENFORCEMENT.  (a)  The attorney general may bring an action to enforce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brought under this section, the court may award the attorney general injunctive or declaratory relief and reasonable attorney's fees and costs incurred in bringing the action.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