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4758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prohibition on certain e-cigarette products;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This Act may be cited as the Protecting Children from Electronic Cigarette Advertising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H, Chapter 161, Health and Safety Code, is amended by adding Section 161.0876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161.0876.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E-CIGARETTE PRODUCTS.  (a) </w:t>
      </w:r>
      <w:r>
        <w:rPr>
          <w:u w:val="single"/>
        </w:rPr>
        <w:t xml:space="preserve"> </w:t>
      </w:r>
      <w:r>
        <w:rPr>
          <w:u w:val="single"/>
        </w:rPr>
        <w:t xml:space="preserve">For purposes of this section, "e-cigarette product" includes any substance containing nicotine from any source that is intended for use in an e-cigarette.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commits an offense if the person markets, advertises, sells, or causes to be sold an e-cigarette product, if the product's container: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depicts a cartoon-like fictional character that mimics a character primarily aimed at entertaining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imitates or mimics trademarks or trade dress of products that are or have been primarily marketed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 symbol that is primarily used to market products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of a celebrity;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that resembles a food product, including candy or juice.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</w:t>
      </w:r>
      <w:r>
        <w:rPr>
          <w:u w:val="single"/>
        </w:rPr>
        <w:t xml:space="preserve">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Class B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2024.</w:t>
      </w:r>
    </w:p>
    <w:p>
      <w:r>
        <w:br w:type="page"/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President of the Senate</w:t>
      </w:r>
      <w:r xml:space="preserve">
        <w:tab wTab="150" tlc="none" cTlc="0"/>
      </w: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4758 was passed by the House on May 6, 2023, by the following vote:</w:t>
      </w:r>
      <w:r xml:space="preserve">
        <w:t> </w:t>
      </w:r>
      <w:r xml:space="preserve">
        <w:t> </w:t>
      </w:r>
      <w:r>
        <w:t xml:space="preserve">Yeas 113, Nays 21, 2 present, not voting; and that the House concurred in Senate amendments to H.B. No. 4758 on May 25, 2023, by the following vote:</w:t>
      </w:r>
      <w:r xml:space="preserve">
        <w:t> </w:t>
      </w:r>
      <w:r xml:space="preserve">
        <w:t> </w:t>
      </w:r>
      <w:r>
        <w:t xml:space="preserve">Yeas 123, Nays 18, 2 present, not voting.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ind w:firstLine="720"/>
        <w:jc w:val="both"/>
      </w:pPr>
      <w:r>
        <w:t xml:space="preserve">I certify that H.B. No. 4758 was passed by the Senate, with amendments, on May 23, 2023, by the following vote:</w:t>
      </w:r>
      <w:r xml:space="preserve">
        <w:t> </w:t>
      </w:r>
      <w:r xml:space="preserve">
        <w:t> </w:t>
      </w:r>
      <w:r>
        <w:t xml:space="preserve">Yeas 31, Nays 0.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Secretary of the Senate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APPROVED: 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 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4758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