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88R19177 SRA-F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Thierry, Anderson, Slawson, et al.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4758</w:t>
      </w:r>
    </w:p>
    <w:p w:rsidR="003F3435" w:rsidRDefault="0032493E">
      <w:pPr>
        <w:spacing w:line="480" w:lineRule="auto"/>
        <w:jc w:val="both"/>
      </w:pPr>
      <w:r>
        <w:t xml:space="preserve">Substitute the following for</w:t>
      </w:r>
      <w:r xml:space="preserve">
        <w:t> </w:t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4758:</w:t>
      </w: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Klick</w:t>
      </w:r>
      <w:r xml:space="preserve">
        <w:tab wTab="150" tlc="none" cTlc="0"/>
      </w:r>
      <w:r>
        <w:t xml:space="preserve">C.S.H.B.</w:t>
      </w:r>
      <w:r xml:space="preserve">
        <w:t> </w:t>
      </w:r>
      <w:r>
        <w:t xml:space="preserve">No.</w:t>
      </w:r>
      <w:r xml:space="preserve">
        <w:t> </w:t>
      </w:r>
      <w:r>
        <w:t xml:space="preserve">4758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a prohibition on certain e-cigarette products; creating a criminal offense.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This Act may be cited as the Protecting Children from Electronic Cigarette Advertising Act.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H, Chapter 161, Health and Safety Code, is amended by adding Section 161.0876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161.0876.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PROHIBITED E-CIGARETTE PRODUCTS.  (a) </w:t>
      </w:r>
      <w:r>
        <w:rPr>
          <w:u w:val="single"/>
        </w:rPr>
        <w:t xml:space="preserve"> </w:t>
      </w:r>
      <w:r>
        <w:rPr>
          <w:u w:val="single"/>
        </w:rPr>
        <w:t xml:space="preserve">A person commits an offense if the person markets, advertises, sells, or causes to be sold an e-cigarette product, if the product's container: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depicts a cartoon-like fictional character that mimics a character primarily aimed at entertaining minors;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imitates or mimics trademarks or trade dress of products that are or have been primarily marketed to minors;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includes a symbol that is primarily used to market products to minors;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includes an image of a celebrity;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(5)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includes an image that resembles a food product, including candy or juice.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offense under this section is a Class B misdemeanor.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January 1, 2024.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C.S.H.B.</w:t>
    </w:r>
    <w:r xml:space="preserve">
      <w:t> </w:t>
    </w:r>
    <w:r>
      <w:t xml:space="preserve">No.</w:t>
    </w:r>
    <w:r xml:space="preserve">
      <w:t> </w:t>
    </w:r>
    <w:r>
      <w:t xml:space="preserve">4758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