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88R15853 SRA-F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Thierry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4758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certain e-cigarette containers.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This Act may be cited as the Protecting Children from Electronic Cigarette Advertising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H, Chapter 161, Health and Safety Code, is amended by adding Section 161.0876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161.0876.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E-CIGARETTE CONTAINERS.  A person may not sell or cause to be sold an e-cigarette container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depicts a cartoon-like fictional character that mimics a character primarily aimed at entertaining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imitates or mimics trademarks or trade dress of products that are or have been primarily marketed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 symbol or celebrity image that is primarily used to market products to minors;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resembles a food product, including candy or juice.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Notwithstanding Section 161.0876, Health and Safety Code, as added by this Act, a retailer is not required to comply with that section until January 1, 2024.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4758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