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Thierry, et al.</w:t>
      </w:r>
      <w:r>
        <w:t xml:space="preserve"> (Senate Sponsor</w:t>
      </w:r>
      <w:r xml:space="preserve">
        <w:t> </w:t>
      </w:r>
      <w:r>
        <w:t xml:space="preserve">-</w:t>
      </w:r>
      <w:r xml:space="preserve">
        <w:t> </w:t>
      </w:r>
      <w:r>
        <w:t xml:space="preserve">Springer)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4758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Received from the House May</w:t>
      </w:r>
      <w:r xml:space="preserve">
        <w:t> </w:t>
      </w:r>
      <w:r>
        <w:t xml:space="preserve">8,</w:t>
      </w:r>
      <w:r xml:space="preserve">
        <w:t> </w:t>
      </w:r>
      <w:r>
        <w:t xml:space="preserve">2023; May</w:t>
      </w:r>
      <w:r xml:space="preserve">
        <w:t> </w:t>
      </w:r>
      <w:r>
        <w:t xml:space="preserve">10,</w:t>
      </w:r>
      <w:r xml:space="preserve">
        <w:t> </w:t>
      </w:r>
      <w:r>
        <w:t xml:space="preserve">2023, read first time and referred to Committee on Health &amp; Human Services; May</w:t>
      </w:r>
      <w:r xml:space="preserve">
        <w:t> </w:t>
      </w:r>
      <w:r>
        <w:t xml:space="preserve">21,</w:t>
      </w:r>
      <w:r xml:space="preserve">
        <w:t> </w:t>
      </w:r>
      <w:r>
        <w:t xml:space="preserve">2023, reported favorably by the following vote:</w:t>
      </w:r>
      <w:r>
        <w:t xml:space="preserve"> </w:t>
      </w:r>
      <w:r>
        <w:t xml:space="preserve"> </w:t>
      </w:r>
      <w:r>
        <w:t xml:space="preserve">Yeas 9, Nays 0; May</w:t>
      </w:r>
      <w:r xml:space="preserve">
        <w:t> </w:t>
      </w:r>
      <w:r>
        <w:t xml:space="preserve">21,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Kolkhorst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Blanco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LaMantia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Miles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Sparks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a prohibition on certain e-cigarette products;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This Act may be cited as the Protecting Children from Electronic Cigarette Advertising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H, Chapter 161, Health and Safety Code, is amended by adding Section 161.0876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161.0876.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E-CIGARETTE PRODUCTS.  (a) </w:t>
      </w:r>
      <w:r>
        <w:rPr>
          <w:u w:val="single"/>
        </w:rPr>
        <w:t xml:space="preserve"> </w:t>
      </w:r>
      <w:r>
        <w:rPr>
          <w:u w:val="single"/>
        </w:rPr>
        <w:t xml:space="preserve">A person commits an offense if the person markets, advertises, sells, or causes to be sold an e-cigarette product, if the product's container: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depicts a cartoon-like fictional character that mimics a character primarily aimed at entertaining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imitates or mimics trademarks or trade dress of products that are or have been primarily marketed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 symbol that is primarily used to market products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of a celebrity;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that resembles a food product, including candy or juice.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Class B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2024.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4758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