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H.B.</w:t>
      </w:r>
      <w:r xml:space="preserve">
        <w:t> </w:t>
      </w:r>
      <w:r>
        <w:t xml:space="preserve">No.</w:t>
      </w:r>
      <w:r xml:space="preserve">
        <w:t> </w:t>
      </w:r>
      <w:r>
        <w:t xml:space="preserve">4762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liability of hospital personnel for certain uses of force while on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241, Health and Safety Code, is amended by adding Section 241.013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241.013.</w:t>
      </w:r>
      <w:r>
        <w:rPr>
          <w:u w:val="single"/>
        </w:rPr>
        <w:t xml:space="preserve"> </w:t>
      </w:r>
      <w:r>
        <w:rPr>
          <w:u w:val="single"/>
        </w:rPr>
        <w:t xml:space="preserve"> </w:t>
      </w:r>
      <w:r>
        <w:rPr>
          <w:u w:val="single"/>
        </w:rPr>
        <w:t xml:space="preserve">HOSPITAL PERSONNEL LIABILITY FOR CERTAIN USES OF FORCE.  (a)  In this section, "hospital personnel" includes nurses, physicians, physician assistants, maintenance or janitorial staff, receptionists, and other individuals who are employed by or work in a facility that is licensed as a general hospital or special hospital, as those terms are defined by Section 241.003, including a hospital maintained or operated by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acting as hospital personnel is not liable to a hospital patient for an injury resulting from the individual's use of force while on duty if, under the circumstances as the individual reasonably believes them to be, the individual would be justified under Subchapter C, Chapter 9, Penal Code, in that use of force.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