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88R15407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4765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inheritance rights of adoptive parents.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201.054(e), Estates Code, is amended to read as follows:</w:t>
      </w:r>
    </w:p>
    <w:p w:rsidR="003F3435" w:rsidRDefault="0032493E">
      <w:pPr>
        <w:spacing w:line="480" w:lineRule="auto"/>
        <w:ind w:firstLine="720"/>
        <w:jc w:val="both"/>
      </w:pPr>
      <w:r>
        <w:t xml:space="preserve">(e)</w:t>
      </w:r>
      <w:r xml:space="preserve">
        <w:t> </w:t>
      </w:r>
      <w:r xml:space="preserve">
        <w:t> </w:t>
      </w:r>
      <w:r>
        <w:t xml:space="preserve">For purposes of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"Adopted</w:t>
      </w:r>
      <w:r>
        <w:t xml:space="preserve"> [</w:t>
      </w:r>
      <w:r>
        <w:rPr>
          <w:strike/>
        </w:rPr>
        <w:t xml:space="preserve">, "adopted</w:t>
      </w:r>
      <w:r>
        <w:t xml:space="preserve">] child" means a child:</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adopted through an existing or former statutory procedure; or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considered by a court to be equitably adopted or adopted by acts of estoppel.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"Adoptive parent" means a parent: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who adopted a child through an existing or former statutory procedure;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considered by a court to have equitably adopted a child or adopted a child by acts of estoppel.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to Section 201.054, Estates Code, applies only to the estate of a decedent who dies on or after the effective date of this Act. </w:t>
      </w:r>
      <w:r>
        <w:t xml:space="preserve"> </w:t>
      </w:r>
      <w:r>
        <w:t xml:space="preserve">The estate of a decedent who dies before the effective date of this Act is governed by the law in effect on the date of the decedent's death,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