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4765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Jurisprudence; May</w:t>
      </w:r>
      <w:r xml:space="preserve">
        <w:t> </w:t>
      </w:r>
      <w:r>
        <w:t xml:space="preserve">17,</w:t>
      </w:r>
      <w:r xml:space="preserve">
        <w:t> </w:t>
      </w:r>
      <w:r>
        <w:t xml:space="preserve">2023, reported favorably by the following vote:</w:t>
      </w:r>
      <w:r>
        <w:t xml:space="preserve"> </w:t>
      </w:r>
      <w:r>
        <w:t xml:space="preserve"> </w:t>
      </w:r>
      <w:r>
        <w:t xml:space="preserve">Yeas 5,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inheritance rights of adoptive parents.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201.054(e), Estates Code, is amended to read as follows:</w:t>
      </w:r>
    </w:p>
    <w:p w:rsidR="003F3435" w:rsidRDefault="0032493E">
      <w:pPr>
        <w:spacing w:line="480" w:lineRule="auto"/>
        <w:ind w:firstLine="720"/>
        <w:jc w:val="both"/>
      </w:pPr>
      <w:r>
        <w:t xml:space="preserve">(e)</w:t>
      </w:r>
      <w:r xml:space="preserve">
        <w:t> </w:t>
      </w:r>
      <w:r xml:space="preserve">
        <w:t> </w:t>
      </w:r>
      <w:r>
        <w:t xml:space="preserve">For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"Adopted</w:t>
      </w:r>
      <w:r>
        <w:t xml:space="preserve"> [</w:t>
      </w:r>
      <w:r>
        <w:rPr>
          <w:strike/>
        </w:rPr>
        <w:t xml:space="preserve">, "adopted</w:t>
      </w:r>
      <w:r>
        <w:t xml:space="preserve">] child" means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adopted through an existing or former statutory procedure;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considered by a court to be equitably adopted or adopted by acts of estoppel.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"Adoptive parent" means a parent: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adopted a child through an existing or former statutory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considered by a court to have equitably adopted a child or adopted a child by acts of estoppel.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201.054, Estates Code,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