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88R16531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4768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grant program for the preservation and restoration of, and education regarding, certain landmarks and buildings important to African American history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442, Government Code, is amended by adding Section 442.034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442.034.</w:t>
      </w:r>
      <w:r>
        <w:rPr>
          <w:u w:val="single"/>
        </w:rPr>
        <w:t xml:space="preserve"> </w:t>
      </w:r>
      <w:r>
        <w:rPr>
          <w:u w:val="single"/>
        </w:rPr>
        <w:t xml:space="preserve"> </w:t>
      </w:r>
      <w:r>
        <w:rPr>
          <w:u w:val="single"/>
        </w:rPr>
        <w:t xml:space="preserve">GRANT PROGRAM FOR HISTORICAL LANDMARKS IMPORTANT TO AFRICAN AMERICAN HISTORY.  (a)  The commission shall establish a grant program to preserve, renovate, and restore buildings and landmarks that highlight the history, struggles, and triumphs of the African American community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award grants for the purposes described by Subsection (a) to owners of or to individuals or nonprofits responsible for the care of a historical landmark or building important to the history of the African American community in this state.  The commission shall establish procedures to administer the grant program, including eligibility standards and procedures for applying for a grant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recipient may use a grant awarded under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preserve, maintain, and restore a historical landmark or building important to the history of the African American community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educational programs relevant to those landmarks and buildings to be used on the 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solicit gifts, grants, and donations from any private or public source for the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Historical Commission shall adopt rules to implement Section 442.034,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