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88R16333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grant program for municipal pedestrian infrastructure administered by the Texas Department of Housing and Community Affairs.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K, Chapter 2306,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K. </w:t>
      </w:r>
      <w:r>
        <w:t xml:space="preserve"> </w:t>
      </w:r>
      <w:r>
        <w:t xml:space="preserve">[</w:t>
      </w:r>
      <w:r>
        <w:rPr>
          <w:strike/>
        </w:rPr>
        <w:t xml:space="preserve">HOUSING</w:t>
      </w:r>
      <w:r>
        <w:t xml:space="preserve">] PROGRAMS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K, Chapter 2306, Government Code, is amended by adding Section 2306.2595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2306.2595.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PEDESTRIAN INFRASTRUCTURE PROGRAM.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"Grant" means financial assistance that is awarded in the form of money to a municipality for a specific purpose and that is not required to be repaid. </w:t>
      </w:r>
      <w:r>
        <w:rPr>
          <w:u w:val="single"/>
        </w:rPr>
        <w:t xml:space="preserve"> </w:t>
      </w:r>
      <w:r>
        <w:rPr>
          <w:u w:val="single"/>
        </w:rPr>
        <w:t xml:space="preserve">For purposes of this section, the term includes a forgivable loan.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"Grant fund" means the pedestrian infrastructure grant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grant fund is a dedicated account in the general revenue fund and consists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appropriations of money to the grant fund by the legislature;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gifts, grants, including federal grants, and other donations received for the grant fund;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interest earned on the investment of money in the grant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award grants to municipalities to construct pedestrian infrastructure related to sidewalks, curbs, or pedestrian lighting.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grant fund may be used by the department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award grants under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administer the grant program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rules necessary to administer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