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88R11917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Plesa, Lozano, Dutton,</w:t>
      </w:r>
      <w:r xml:space="preserve">
        <w:tab wTab="150" tlc="none" cTlc="0"/>
      </w:r>
      <w:r>
        <w:t xml:space="preserve">H.B.</w:t>
      </w:r>
      <w:r xml:space="preserve">
        <w:t> </w:t>
      </w:r>
      <w:r>
        <w:t xml:space="preserve">No.</w:t>
      </w:r>
      <w:r xml:space="preserve">
        <w:t> </w:t>
      </w:r>
      <w:r>
        <w:t xml:space="preserve">4777</w:t>
      </w:r>
    </w:p>
    <w:p w:rsidR="003F3435" w:rsidRDefault="0032493E">
      <w:pPr>
        <w:jc w:val="both"/>
      </w:pPr>
      <w:r xml:space="preserve">
        <w:t> </w:t>
      </w:r>
      <w:r xml:space="preserve">
        <w:t> </w:t>
      </w:r>
      <w:r xml:space="preserve">
        <w:t> </w:t>
      </w:r>
      <w:r xml:space="preserve">
        <w:t> </w:t>
      </w:r>
      <w:r xml:space="preserve">
        <w:t> </w:t>
      </w:r>
      <w:r>
        <w:t xml:space="preserve">A. Johnson of Harris, Allison,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model training curriculum for school district peace officers and school resource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1701.262(c),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The curriculum developed under this section must incorporate learning objectives regarding:</w:t>
      </w:r>
    </w:p>
    <w:p w:rsidR="003F3435" w:rsidRDefault="0032493E">
      <w:pPr>
        <w:spacing w:line="480" w:lineRule="auto"/>
        <w:ind w:firstLine="1440"/>
        <w:jc w:val="both"/>
      </w:pPr>
      <w:r>
        <w:t xml:space="preserve">(1)</w:t>
      </w:r>
      <w:r xml:space="preserve">
        <w:t> </w:t>
      </w:r>
      <w:r xml:space="preserve">
        <w:t> </w:t>
      </w:r>
      <w:r>
        <w:t xml:space="preserve">child and adolescent development and psychology;</w:t>
      </w:r>
    </w:p>
    <w:p w:rsidR="003F3435" w:rsidRDefault="0032493E">
      <w:pPr>
        <w:spacing w:line="480" w:lineRule="auto"/>
        <w:ind w:firstLine="1440"/>
        <w:jc w:val="both"/>
      </w:pPr>
      <w:r>
        <w:t xml:space="preserve">(2)</w:t>
      </w:r>
      <w:r xml:space="preserve">
        <w:t> </w:t>
      </w:r>
      <w:r xml:space="preserve">
        <w:t> </w:t>
      </w:r>
      <w:r>
        <w:t xml:space="preserve">positive behavioral interventions and supports, conflict resolution techniques, and restorative justice techniques;</w:t>
      </w:r>
    </w:p>
    <w:p w:rsidR="003F3435" w:rsidRDefault="0032493E">
      <w:pPr>
        <w:spacing w:line="480" w:lineRule="auto"/>
        <w:ind w:firstLine="1440"/>
        <w:jc w:val="both"/>
      </w:pPr>
      <w:r>
        <w:t xml:space="preserve">(3)</w:t>
      </w:r>
      <w:r xml:space="preserve">
        <w:t> </w:t>
      </w:r>
      <w:r xml:space="preserve">
        <w:t> </w:t>
      </w:r>
      <w:r>
        <w:t xml:space="preserve">de-escalation techniques and techniques for limiting the use of force, including the use of physical, mechanical, and chemical restraints;</w:t>
      </w:r>
    </w:p>
    <w:p w:rsidR="003F3435" w:rsidRDefault="0032493E">
      <w:pPr>
        <w:spacing w:line="480" w:lineRule="auto"/>
        <w:ind w:firstLine="1440"/>
        <w:jc w:val="both"/>
      </w:pPr>
      <w:r>
        <w:t xml:space="preserve">(4)</w:t>
      </w:r>
      <w:r xml:space="preserve">
        <w:t> </w:t>
      </w:r>
      <w:r xml:space="preserve">
        <w:t> </w:t>
      </w:r>
      <w:r>
        <w:t xml:space="preserve">the mental and behavioral health needs of children with disabilities or special needs;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mental health crisis intervention</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effects of mental health conditions, including grief and trauma, on student behavior and the ways in which using evidence-based, grief-informed, and trauma-informed strategies support a safe school environment and protect the mental health of students affected by grief and trauma</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Texas Commission on Law Enforcement shall amend the model training curriculum as necessary to implement Section 1701.262(c), Occupations Code, as amended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