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88R13402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promoting voter registration and voting participation in rural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18, Election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</w:t>
      </w:r>
      <w:r>
        <w:rPr>
          <w:u w:val="single"/>
        </w:rPr>
        <w:t xml:space="preserve"> </w:t>
      </w:r>
      <w:r>
        <w:rPr>
          <w:u w:val="single"/>
        </w:rPr>
        <w:t xml:space="preserve">RURAL VOTER REGISTRATION AND PARTICIPATION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18.081.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APPLICATION.  This subchapter applies only to a voter registrar in a county with a population of 250,000 or less according to the most recent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RURAL VOTER REGISTRATION AND PARTICIPATION.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19.004, each voter registrar may use state funds disbursed under this subchapter or Chapter 19 to promote voter registration or voting participation in a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voter registrar may promote: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voter registration, by identifying persons eligible for registration and encouraging the identified persons to register to vote;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voting participation, by encouraging registered voters to vote and providing to registered voters: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information, including voting dates and polling place locations;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transportation to and from polling place locations during the voting period.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voter registrar that promotes voter registration or voting participation under Subsection (b)(1) or (2)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 any particular party, candidate, or group of candidates;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target the voter registrar's efforts toward individuals on the basis of race, ethnicity, or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voter registrar may contract with a nonprofit organization to carry out the promotion of voter registration or voting participation permitted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18.083.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FUNDING.  A voter registrar may use any available revenue, including legislative appropriations, and may solicit and accept gifts, grants, and donations from a public or private source for the purposes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