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88R3872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Anchía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acceptance of political contributions by a member of the Railroad Commission of Texas and of political contributions made in connection with the office of railroad commissioner.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81, Natural Resources Code, is amended by adding Section 81.010045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81.010045.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POLITICAL CONTRIBUTIONS RESTRICTED.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"political committee" and "political contribution" have the meanings assigned by Section 251.001, Election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commissioner may not knowingly accept a political contribution given or offered with the intention that it be used in connection with a campaign for or the holding of any elective office, including the office of commissioner, except during the period: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beginning 17 months before the date of the next general election at which the commissioner's office is filled;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ending on the 30th day after the date of that election.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other than a commissioner may not knowingly accept a political contribution given or offered with the intention that it be used in connection with a campaign for the office of commissioner, except: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the period: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beginning 17 months before the date of the next general election at which any commissioner's office is filled;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ending on the 30th day after the date of that election;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the period beginning on the date a vacancy in the office of commissioner occurs and ending on the date that vacancy is filled.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commissioner may not knowingly accept a political contribution, and shall refuse a political contribution that is received, from a party in a contested case before the commission or a political committee affiliated with such a party during the period: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beginning on the date notice of the hearing in the contested case is given;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ending 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30th day after the date the decision in the contested case is rendered;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request for rehearing is filed: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request is denied;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30th day after the date the decision after rehearing is rendered.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commissioner shall return a political contribution that is received and refused under Subsection (d) not later than the 30th day after the date the commissioner received the contribution.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necessary to implement Subsections (d) and (e), including rules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direct the commission to maintain a list of the contested cases before the commission and the parties to each case in order to aid the commissioners in complying with those subsections;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ensure that each notice of a hearing in a contested case that is issued by the commission or a commissioner contains information about the political contributions prohibited under Subsection 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