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88R15189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4798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governmental health benefit plan coverage for opioid antagonists and associated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1372 to read as follows:</w:t>
      </w:r>
    </w:p>
    <w:p w:rsidR="003F3435" w:rsidRDefault="0032493E">
      <w:pPr>
        <w:spacing w:line="480" w:lineRule="auto"/>
        <w:jc w:val="center"/>
      </w:pPr>
      <w:r>
        <w:rPr>
          <w:u w:val="single"/>
        </w:rPr>
        <w:t xml:space="preserve">CHAPTER 1372. COVERAGE FOR OPIOID ANTAGONISTS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1372.001.</w:t>
      </w:r>
      <w:r>
        <w:rPr>
          <w:u w:val="single"/>
        </w:rPr>
        <w:t xml:space="preserve"> </w:t>
      </w:r>
      <w:r>
        <w:rPr>
          <w:u w:val="single"/>
        </w:rPr>
        <w:t xml:space="preserve"> </w:t>
      </w:r>
      <w:r>
        <w:rPr>
          <w:u w:val="single"/>
        </w:rPr>
        <w:t xml:space="preserve">DEFINITION.  In this chapter, "opioid antagonist" means any drug that binds to opioid receptors and blocks or otherwise inhibits the effects of opioids acting on those receptors.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1372.002.</w:t>
      </w:r>
      <w:r>
        <w:rPr>
          <w:u w:val="single"/>
        </w:rPr>
        <w:t xml:space="preserve"> </w:t>
      </w:r>
      <w:r>
        <w:rPr>
          <w:u w:val="single"/>
        </w:rPr>
        <w:t xml:space="preserve"> </w:t>
      </w:r>
      <w:r>
        <w:rPr>
          <w:u w:val="single"/>
        </w:rPr>
        <w:t xml:space="preserve">APPLICABILITY OF CHAPTER.  Notwithstanding any other law, this chapter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state Medicaid program, including the Medicaid managed care program operated under Chapter 533, Government Code;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1372.003.</w:t>
      </w:r>
      <w:r>
        <w:rPr>
          <w:u w:val="single"/>
        </w:rPr>
        <w:t xml:space="preserve"> </w:t>
      </w:r>
      <w:r>
        <w:rPr>
          <w:u w:val="single"/>
        </w:rPr>
        <w:t xml:space="preserve"> </w:t>
      </w:r>
      <w:r>
        <w:rPr>
          <w:u w:val="single"/>
        </w:rPr>
        <w:t xml:space="preserve">REQUIRED COVERAGE FOR OPIOID ANTAGONISTS.  A health benefit plan must provide coverage for an opioid antagonist and an associated device used in the administration of an opioid antagonist.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