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88R16680 LRM-F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Morales of Maverick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4800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prohibited discriminatory practices by pharmaceutical drug manufacturers against patient assistance program applicants.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Chapter 441, Health and Safety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CHAPTER 441.</w:t>
      </w:r>
      <w:r xml:space="preserve">
        <w:t> </w:t>
      </w:r>
      <w:r>
        <w:t xml:space="preserve">DRUG COST TRANSPARENCY </w:t>
      </w:r>
      <w:r>
        <w:rPr>
          <w:u w:val="single"/>
        </w:rPr>
        <w:t xml:space="preserve">AND AFFORDABILITY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441.0001, Health and Safety Code, is amended by amending Subdivision (1) and adding Subdivisions (1-a) and (1-b)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"Advocacy service"  means a health care provider or other person who, on behalf of health benefit plan sponsors, administrators, or pharmacy benefit managers, assists patients with enrolling in patient assistance programs. </w:t>
      </w:r>
      <w:r>
        <w:rPr>
          <w:u w:val="single"/>
        </w:rPr>
        <w:t xml:space="preserve"> </w:t>
      </w:r>
      <w:r>
        <w:rPr>
          <w:u w:val="single"/>
        </w:rPr>
        <w:t xml:space="preserve">The term does not include a health benefit plan issuer.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(1-a)</w:t>
      </w:r>
      <w:r xml:space="preserve">
        <w:t> </w:t>
      </w:r>
      <w:r xml:space="preserve">
        <w:t> </w:t>
      </w:r>
      <w:r>
        <w:t xml:space="preserve">"Animal health product" means a medical product approved and licensed for use in animal or veterinary medicine, including a pharmaceutical, a biologic, an insecticide, and a parasiticide.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(1-b)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"Patient assistance program" means a program, grant, scholarship, or foundation that provides to a patient financial assistance, health benefit plan premium support, drug-free products or services, or services associated with the safe use and administration of a drug.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Chapter 441, Health and Safety Code, is amended by adding Subchapter B-1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B-1. PATIENT ASSISTANCE PROGRAMS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441.0071.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PROHIBITED PRACTICES BY PHARMACEUTICAL DRUG MANUFACTURER.  A pharmaceutical drug manufacturer may not reject a patient's application for the manufacturer's patient assistance program based on the patient's: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race, color, national origin, sex, age, or disability;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of an advocacy service in the application process;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benefits and coverage under a health benefit plan.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4800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