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88R14899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Allen</w:t>
      </w:r>
      <w:r xml:space="preserve">
        <w:tab wTab="150" tlc="none" cTlc="0"/>
      </w:r>
      <w:r>
        <w:t xml:space="preserve">H.B.</w:t>
      </w:r>
      <w:r xml:space="preserve">
        <w:t> </w:t>
      </w:r>
      <w:r>
        <w:t xml:space="preserve">No.</w:t>
      </w:r>
      <w:r xml:space="preserve">
        <w:t> </w:t>
      </w:r>
      <w:r>
        <w:t xml:space="preserve">4813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approval of purchases under the supplemental special education services and instructional materials program by a public school student's admission, review, and dismissal committee.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29.046(a), Education Code, is amended to read as follows:</w:t>
      </w:r>
    </w:p>
    <w:p w:rsidR="003F3435" w:rsidRDefault="0032493E">
      <w:pPr>
        <w:spacing w:line="480" w:lineRule="auto"/>
        <w:ind w:firstLine="720"/>
        <w:jc w:val="both"/>
      </w:pPr>
      <w:r>
        <w:t xml:space="preserve">(a)</w:t>
      </w:r>
      <w:r xml:space="preserve">
        <w:t> </w:t>
      </w:r>
      <w:r xml:space="preserve">
        <w:t> </w:t>
      </w:r>
      <w:r>
        <w:t xml:space="preserve">Money in an account assigned to a student under Section 29.045 may be used only for supplemental special education services and supplemental special education instructional materials </w:t>
      </w:r>
      <w:r>
        <w:rPr>
          <w:u w:val="single"/>
        </w:rPr>
        <w:t xml:space="preserve">approved by the student's admission, review, and dismissal committee under Section 29.048(c)</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29.048, Education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admission, review, and dismissal committee of a student approved for participation in the program shall hold an admission, review, and dismissal committee meeting for the student with the student's parent before grant money is assigned to a student's account under the program to determine and approve the supplemental special education services and supplemental special education instructional materials that would best serve the student.  The committee shall provide the student's parent and the agency the list of approved services and materials for the student.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