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88R14177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4816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prohibited requirement of a rabies report on or quarantine of certain domesticated dogs, cats, and ferrets.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826, Health and Safety Code, is amended by adding Section 826.0425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826.0425.</w:t>
      </w:r>
      <w:r>
        <w:rPr>
          <w:u w:val="single"/>
        </w:rPr>
        <w:t xml:space="preserve"> </w:t>
      </w:r>
      <w:r>
        <w:rPr>
          <w:u w:val="single"/>
        </w:rPr>
        <w:t xml:space="preserve"> </w:t>
      </w:r>
      <w:r>
        <w:rPr>
          <w:u w:val="single"/>
        </w:rPr>
        <w:t xml:space="preserve">PROHIBITED REQUIREMENT OF CERTAIN REPORTS OR QUARANTINE.  The executive commissioner may not adopt a rule to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to report an incident involving an animal bite or scratch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bite or scratch was from a domesticated dog, cat, or ferret;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 does not reasonably foresee the dog, cat, or ferret as capable of transmitting rabies and does not suspect the dog, cat, or ferret is rabid;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 of a domesticated dog, cat, or ferret to submit the animal to quarantine under this chapter if the owner lacks probable cause to believe the animal is rabid or may have been exposed to rabies.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