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88R14963 JSC-D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Rosenthal</w:t>
      </w:r>
      <w:r xml:space="preserve">
        <w:tab wTab="150" tlc="none" cTlc="0"/>
      </w:r>
      <w:r>
        <w:t xml:space="preserve">H.B.</w:t>
      </w:r>
      <w:r xml:space="preserve">
        <w:t> </w:t>
      </w:r>
      <w:r>
        <w:t xml:space="preserve">No.</w:t>
      </w:r>
      <w:r xml:space="preserve">
        <w:t> </w:t>
      </w:r>
      <w:r>
        <w:t xml:space="preserve">4817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handgun safety course required for the transfer of a handgun.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411, Government Code, is amended by adding Subchapter H-1 to read as follows:</w:t>
      </w:r>
    </w:p>
    <w:p w:rsidR="003F3435" w:rsidRDefault="0032493E">
      <w:pPr>
        <w:spacing w:line="480" w:lineRule="auto"/>
        <w:jc w:val="center"/>
      </w:pPr>
      <w:r>
        <w:rPr>
          <w:u w:val="single"/>
        </w:rPr>
        <w:t xml:space="preserve">SUBCHAPTER H-1.  HANDGUN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411.221.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"Handgun" has the meaning assigned by Section 46.01,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handgun instructor" has the meaning assigned by Section 411.171.</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411.222.</w:t>
      </w:r>
      <w:r>
        <w:rPr>
          <w:u w:val="single"/>
        </w:rPr>
        <w:t xml:space="preserve"> </w:t>
      </w:r>
      <w:r>
        <w:rPr>
          <w:u w:val="single"/>
        </w:rPr>
        <w:t xml:space="preserve"> </w:t>
      </w:r>
      <w:r>
        <w:rPr>
          <w:u w:val="single"/>
        </w:rPr>
        <w:t xml:space="preserve">HANDGUN SAFETY COURSE.  (a)  The director by rule shall establish minimum standards for a handgun safety course that a person may complete to receive a certificate of completion from the department under this section.  The course must be administered by a qualified handgun instructor.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certificate of completion to a person who completes the handgun safety course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responsible for paying to the course provider the costs of a handgun safety course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46.06(a),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 to any child younger than 18 years of age any firearm, club, or location-restricted knife;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(A)</w:t>
      </w:r>
      <w:r xml:space="preserve">
        <w:t> </w:t>
      </w:r>
      <w:r xml:space="preserve">
        <w:t> </w:t>
      </w:r>
      <w:r>
        <w:t xml:space="preserve">the person's release from confinement following conviction of the felony; or</w:t>
      </w:r>
    </w:p>
    <w:p w:rsidR="003F3435" w:rsidRDefault="0032493E">
      <w:pPr>
        <w:spacing w:line="480" w:lineRule="auto"/>
        <w:ind w:firstLine="2160"/>
        <w:jc w:val="both"/>
      </w:pPr>
      <w:r>
        <w:t xml:space="preserve">(B)</w:t>
      </w:r>
      <w:r xml:space="preserve">
        <w:t> </w:t>
      </w:r>
      <w:r xml:space="preserve">
        <w:t> </w:t>
      </w:r>
      <w:r>
        <w:t xml:space="preserve">the person's release from supervision under community supervision, parole, or mandatory supervision following conviction of the felony;</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w:t>
      </w:r>
      <w:r>
        <w:rPr>
          <w:strike/>
        </w:rPr>
        <w:t xml:space="preserve">licensed</w:t>
      </w:r>
      <w:r>
        <w:t xml:space="preserve">] firearms dealer </w:t>
      </w:r>
      <w:r>
        <w:rPr>
          <w:u w:val="single"/>
        </w:rPr>
        <w:t xml:space="preserve">licensed under</w:t>
      </w:r>
      <w:r>
        <w:t xml:space="preserve">[</w:t>
      </w:r>
      <w:r>
        <w:rPr>
          <w:strike/>
        </w:rPr>
        <w:t xml:space="preserve">, as defined by</w:t>
      </w:r>
      <w:r>
        <w:t xml:space="preserve">] 18 U.S.C. Section 923</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sells, rents, leases, loans, or gives a handgun to any person without first verifying that the person possesses a certificate of completion issued by the Department of Public Safety under Section 411.222, Government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public safety director of the Department of Public Safety shall adopt the rules necessary to implement Section 411.222, Government Code, as added by this Act, not later than December 1, 2023.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46.06(a), Penal Code, as amended by this Act, applies only to an offense committed on or after January 1, 2024.  An offense committed before January 1, 2024, is governed by the law in effect on the date the offense was committed, and the former law is continued in effect for that purpose.  For purposes of this section, an offense was committed before January 1, 2024,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4817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