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88R15783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4818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financial assistance by the Texas Water Development Board for certain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17, Water Code, is amended by amending Section 17.121 and adding Section 17.1215 to read as follows:</w:t>
      </w:r>
    </w:p>
    <w:p w:rsidR="003F3435" w:rsidRDefault="0032493E">
      <w:pPr>
        <w:spacing w:line="480" w:lineRule="auto"/>
        <w:ind w:firstLine="720"/>
        <w:jc w:val="both"/>
      </w:pPr>
      <w:r>
        <w:t xml:space="preserve">Sec.</w:t>
      </w:r>
      <w:r xml:space="preserve">
        <w:t> </w:t>
      </w:r>
      <w:r>
        <w:t xml:space="preserve">17.121.</w:t>
      </w:r>
      <w:r xml:space="preserve">
        <w:t> </w:t>
      </w:r>
      <w:r xml:space="preserve">
        <w:t> </w:t>
      </w:r>
      <w:r>
        <w:t xml:space="preserve">FINANCIAL ASSISTANCE.  The water supply account may be used by the board to provide financial assistance</w:t>
      </w:r>
      <w:r>
        <w:rPr>
          <w:u w:val="single"/>
        </w:rPr>
        <w:t xml:space="preserve">, including grants,</w:t>
      </w:r>
      <w:r>
        <w:t xml:space="preserve"> to political subdivisions for the construction, acquisition, or improvement of water supply projects, including those projects initiated for the sole purpose of conservation as defined in Section 17.001(23)(B) of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17.1215.</w:t>
      </w:r>
      <w:r>
        <w:rPr>
          <w:u w:val="single"/>
        </w:rPr>
        <w:t xml:space="preserve"> </w:t>
      </w:r>
      <w:r>
        <w:rPr>
          <w:u w:val="single"/>
        </w:rPr>
        <w:t xml:space="preserve"> </w:t>
      </w:r>
      <w:r>
        <w:rPr>
          <w:u w:val="single"/>
        </w:rPr>
        <w:t xml:space="preserve">GRANT PROGRAM.  (a) The board may provide grants under this subchapter to a political subdivision, including a drainage district established under Section 59, Article XVI, Texas Constitution, for the construction, acquisition, or improvement of water supply projects, including projects that contain a flood control component.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adopt rules necessary to implement this section, including rules establishing eligibility requirements for the use of grants provided under this section.  Eligibility requirements established under this section may not disqualify a drainage district from receiving a grant because the district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historical data about water use;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retail water service to consumers;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a certificate of convenience and necessity under which it provides retail water or wastewater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