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88R15838 MP-D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Martinez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4819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applicability of local regulations to certain facilities issued a water quality permit by the Texas Commission on Environmental Quality.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26.029, Water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addition to any condition prescribed under this section, a permit holder must follow any local ordinances, rules, or other measures applicable to the permitted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4819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