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88R9078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calculation of the enrichment tax rate for certain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45.0032,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district that adopted for the preceding tax year a maintenance tax rate that is less than the sum of the district's maximum compressed tax rate, as determined under Section 48.2551, and six cents.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Section 26.08(n)(2)(A), Tax Code, the enrichment tax rate for the preceding tax year of a district to which this subsection applies is the sum of the district's enrichment tax rate under Subsection (b) and one cent.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 school district beginning with the 2023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