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88R10094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4834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the Texas energy reliability fund to finance construction of electric generating facilities in the ERCOT power region;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34</w:t>
      </w:r>
      <w:r xml:space="preserve">
        <w:t> </w:t>
      </w:r>
      <w:r>
        <w:t xml:space="preserve">to read as follows:</w:t>
      </w:r>
    </w:p>
    <w:p w:rsidR="003F3435" w:rsidRDefault="0032493E">
      <w:pPr>
        <w:spacing w:line="480" w:lineRule="auto"/>
        <w:jc w:val="center"/>
      </w:pPr>
      <w:r>
        <w:rPr>
          <w:u w:val="single"/>
        </w:rPr>
        <w:t xml:space="preserve">CHAPTER 34. </w:t>
      </w:r>
      <w:r>
        <w:rPr>
          <w:u w:val="single"/>
        </w:rPr>
        <w:t xml:space="preserve"> </w:t>
      </w:r>
      <w:r>
        <w:rPr>
          <w:u w:val="single"/>
        </w:rPr>
        <w:t xml:space="preserve">TEXAS ENERGY RELIABILITY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Texas Energy Reliability Fund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Texas energy reliability fund established by Section 49-q, Article III,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34.0102.</w:t>
      </w:r>
      <w:r>
        <w:rPr>
          <w:u w:val="single"/>
        </w:rPr>
        <w:t xml:space="preserve"> </w:t>
      </w:r>
      <w:r>
        <w:rPr>
          <w:u w:val="single"/>
        </w:rPr>
        <w:t xml:space="preserve"> </w:t>
      </w:r>
      <w:r>
        <w:rPr>
          <w:u w:val="single"/>
        </w:rPr>
        <w:t xml:space="preserve">FUND.  (a) </w:t>
      </w:r>
      <w:r>
        <w:rPr>
          <w:u w:val="single"/>
        </w:rPr>
        <w:t xml:space="preserve"> </w:t>
      </w:r>
      <w:r>
        <w:rPr>
          <w:u w:val="single"/>
        </w:rPr>
        <w:t xml:space="preserve">The fund is a special fund in the state treasury outside the general revenue fund to be administered and used, without further appropriation, by the commission to provide loans to finance the construction of electric generating facilities in the ERCOT power region. </w:t>
      </w:r>
      <w:r>
        <w:rPr>
          <w:u w:val="single"/>
        </w:rPr>
        <w:t xml:space="preserve"> </w:t>
      </w:r>
      <w:r>
        <w:rPr>
          <w:u w:val="single"/>
        </w:rPr>
        <w:t xml:space="preserve">The commission may establish separate accounts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and the fund's accounts are kept and held by the trust company for and in the name of the commission. </w:t>
      </w:r>
      <w:r>
        <w:rPr>
          <w:u w:val="single"/>
        </w:rPr>
        <w:t xml:space="preserve"> </w:t>
      </w:r>
      <w:r>
        <w:rPr>
          <w:u w:val="single"/>
        </w:rPr>
        <w:t xml:space="preserve">The commission has legal title to money and investments in the fund until money is disbursed from the fund as provided by this chapter and commission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credit of the fund may be used only as provided by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or as authorized by law, including money from any source transferred or deposited to the credit of the fund at the commission's discretion;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including the proceeds of any fee, assessment, or tax imposed by this state, that general law dedicates for deposit to the credit of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money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34.0103.</w:t>
      </w:r>
      <w:r>
        <w:rPr>
          <w:u w:val="single"/>
        </w:rPr>
        <w:t xml:space="preserve"> </w:t>
      </w:r>
      <w:r>
        <w:rPr>
          <w:u w:val="single"/>
        </w:rPr>
        <w:t xml:space="preserve"> </w:t>
      </w:r>
      <w:r>
        <w:rPr>
          <w:u w:val="single"/>
        </w:rPr>
        <w:t xml:space="preserve">LOANS.  (a)  The commission may use money in the fund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loan to finance the construction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dispatchable facility that uses a source of heat to generate electricity;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additional generating capacity for a dispatchable facility that uses a source of heat to generate electricity;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necessary and reasonable expenses of administering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a generating facility is considered to be dispatchable if the facility's output can be controlled primarily by forces within human control.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is eligible to receive a loan under this chapter only if the entity is authorized by this title to operate the type of facility for which the loan is requested.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provide a loan under this chapter that bears interest at a rate or rates determined by the commission, including a rate or rates below prevailing market rates.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provide a loan under this chapter only if the commission finds that the facility for which the loan is provided is necessary for the service, accommodation, convenience, or safety of the public. The commission shall provide each loan on a nondiscriminatory basis after considering the factors listed in Sections 37.056(c), (c-1), and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require a person who applies for a loan under this chapter to include in the loan application a plan to ensure that the project for which the loan is requested will be operational not later than the fifth anniversary of the date the loan is disbursed.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submitted to the commission in an application for a loan under this chapter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34.0104.</w:t>
      </w:r>
      <w:r>
        <w:rPr>
          <w:u w:val="single"/>
        </w:rPr>
        <w:t xml:space="preserve"> </w:t>
      </w:r>
      <w:r>
        <w:rPr>
          <w:u w:val="single"/>
        </w:rPr>
        <w:t xml:space="preserve"> </w:t>
      </w:r>
      <w:r>
        <w:rPr>
          <w:u w:val="single"/>
        </w:rPr>
        <w:t xml:space="preserve">MANAGEMENT AND INVESTMENT OF FUND.  (a)  The trust company shall hold and invest the fund, and any accounts established in the fund, for and in the name of the commission, taking into account the purposes for which money in the fund may be used.  The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has any power necessary to accomplish the purposes of managing and investing the assets of the fund.  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may charge fees to cover its costs incurred in managing and investing the fund.  The fees must be consistent with the fees the trust company charges other state and local governmental entities for which it provides investment management services.  The trust company may recover fees it charges under this subsection only from the earnings of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annually shall provide a written report to the commission and to the advisory committee with respect to the investment of the fund.  The trust company shall contract with a certified public accountant to conduct an independent audit of the fund annually and shall present the results of each annual audit to the commission and to the advisory committee.  This subsection does not affect the state auditor's authority to conduct an audit of the fund under Chapter 321,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trust company shall adopt a written investment policy that is appropriate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annually shall provide to the trust company a forecast of the cash flows into and out of the fund.  The commission shall provide updates to the forecasts as appropriate to ensure that the trust company is able to achieve the objective specified by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disburse money from the fund as directed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investment-related contract entered into under this section is not subject to Chapter 2260,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34.0105.</w:t>
      </w:r>
      <w:r>
        <w:rPr>
          <w:u w:val="single"/>
        </w:rPr>
        <w:t xml:space="preserve"> </w:t>
      </w:r>
      <w:r>
        <w:rPr>
          <w:u w:val="single"/>
        </w:rPr>
        <w:t xml:space="preserve"> </w:t>
      </w:r>
      <w:r>
        <w:rPr>
          <w:u w:val="single"/>
        </w:rPr>
        <w:t xml:space="preserve">TEXAS ENERGY RELIABILITY FUND ADVISORY COMMITTEE.  (a)  The advisory committee is composed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or a person designated by 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of the senate appointed by the lieutenant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committee of the senate having primary jurisdiction over matters relating to the generation of electricity;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committee of the senate having primary jurisdiction over finance;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of the house of representatives appointed by the speaker of the house of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committee of the house of representatives having primary jurisdiction over the generation of electricity;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committee of the house of representatives having primary jurisdiction over finance.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staff support for the advisory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appointed member of the advisory committee serves at the will of the person who appointed the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lieutenant governor shall appoint a co-presiding officer of the advisory committee from among the members appointed by the lieutenant governor.  The speaker of the house of representatives shall appoint a co-presiding officer of the advisory committee from among the members appointed by the speaker.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may hold public hearings, formal meetings, and work sessions.  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comments and recommendations to the commission for the commission to use in adopting rules regarding the use of the fund or on any other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review the overall operation, function, and structure of the fund at least semiannually.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Government Code, does not apply to the size, composition, or duration of the advisory committee.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advisory committee is subject to Chapter 325, Government Code (Texas Sunset Act).  Unless continued in existence as provided by that chapter, the advisory committee is abolished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34.0106.</w:t>
      </w:r>
      <w:r>
        <w:rPr>
          <w:u w:val="single"/>
        </w:rPr>
        <w:t xml:space="preserve"> </w:t>
      </w:r>
      <w:r>
        <w:rPr>
          <w:u w:val="single"/>
        </w:rPr>
        <w:t xml:space="preserve"> </w:t>
      </w:r>
      <w:r>
        <w:rPr>
          <w:u w:val="single"/>
        </w:rPr>
        <w:t xml:space="preserve">RULES.  (a) </w:t>
      </w:r>
      <w:r>
        <w:rPr>
          <w:u w:val="single"/>
        </w:rPr>
        <w:t xml:space="preserve"> </w:t>
      </w:r>
      <w:r>
        <w:rPr>
          <w:u w:val="single"/>
        </w:rPr>
        <w:t xml:space="preserve">The commission by rule may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loan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give full consideration to comments and recommendations of the advisory committee before it adopts rules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date on which the constitutional amendment proposed by the 88th Legislature, Regular Session, 2023, providing for the creation of the Texas energy reliability fund to finance construction of electric generating facilities takes effect.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