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88R11723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w:t>
      </w:r>
      <w:r xml:space="preserve">
        <w:tab wTab="150" tlc="none" cTlc="0"/>
      </w:r>
      <w:r>
        <w:t xml:space="preserve">H.B.</w:t>
      </w:r>
      <w:r xml:space="preserve">
        <w:t> </w:t>
      </w:r>
      <w:r>
        <w:t xml:space="preserve">No.</w:t>
      </w:r>
      <w:r xml:space="preserve">
        <w:t> </w:t>
      </w:r>
      <w:r>
        <w:t xml:space="preserve">4837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veteran housing program established by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501, Government Code, is amended by adding Section 501.115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501.115.</w:t>
      </w:r>
      <w:r>
        <w:rPr>
          <w:u w:val="single"/>
        </w:rPr>
        <w:t xml:space="preserve"> </w:t>
      </w:r>
      <w:r>
        <w:rPr>
          <w:u w:val="single"/>
        </w:rPr>
        <w:t xml:space="preserve"> </w:t>
      </w:r>
      <w:r>
        <w:rPr>
          <w:u w:val="single"/>
        </w:rPr>
        <w:t xml:space="preserve">VETERAN HOUSING PROGRAM.  (a) </w:t>
      </w:r>
      <w:r>
        <w:rPr>
          <w:u w:val="single"/>
        </w:rPr>
        <w:t xml:space="preserve"> </w:t>
      </w:r>
      <w:r>
        <w:rPr>
          <w:u w:val="single"/>
        </w:rPr>
        <w:t xml:space="preserve">The department shall establish a housing program for inmates who are veterans of the United States armed forces. </w:t>
      </w:r>
      <w:r>
        <w:rPr>
          <w:u w:val="single"/>
        </w:rPr>
        <w:t xml:space="preserve"> </w:t>
      </w:r>
      <w:r>
        <w:rPr>
          <w:u w:val="single"/>
        </w:rPr>
        <w:t xml:space="preserve">The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dedicate certain cellblocks or dormitories for use in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procedures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verify the veteran status of each inmate during the diagnostic process;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allow an inmate whose veteran status is verified to opt in to the housing dedicated for use in the program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cellblock or dormitory dedicated for use in the program under Subsection (a)(1) may, if necessary, be used to house inmates who are not veterans.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Department of Criminal Justice shall establish the program required by Section 501.115,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