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4841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on COVID-19 restrictions, with exceptions.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161.0015.</w:t>
      </w:r>
      <w:r>
        <w:rPr>
          <w:u w:val="single"/>
        </w:rPr>
        <w:t xml:space="preserve"> </w:t>
      </w:r>
      <w:r>
        <w:rPr>
          <w:u w:val="single"/>
        </w:rPr>
        <w:t xml:space="preserve"> </w:t>
      </w:r>
      <w:r>
        <w:rPr>
          <w:u w:val="single"/>
        </w:rPr>
        <w:t xml:space="preserve">PROHIBITED COVID-19 VACCINE MANDATES. </w:t>
      </w:r>
      <w:r>
        <w:rPr>
          <w:u w:val="single"/>
        </w:rPr>
        <w:t xml:space="preserve"> </w:t>
      </w:r>
      <w:r>
        <w:rPr>
          <w:u w:val="single"/>
        </w:rPr>
        <w:t xml:space="preserve">(a) </w:t>
      </w:r>
      <w:r>
        <w:rPr>
          <w:u w:val="single"/>
        </w:rPr>
        <w:t xml:space="preserve"> </w:t>
      </w:r>
      <w:r>
        <w:rPr>
          <w:u w:val="single"/>
        </w:rPr>
        <w:t xml:space="preserve">This </w:t>
      </w:r>
      <w:r>
        <w:rPr>
          <w:u w:val="single"/>
        </w:rPr>
        <w:t xml:space="preserve">state, a state agency, or a political subdivision of this state, including a public school district, an open-enrollment charter school, or a public health authority may not implement, order, or otherwise impose a mandate requiring an individual to be vaccinated against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facility owned or operated by this state, a state agency, or a political subdivision of this state that is subject to the Centers for Medicare &amp; Medicaid Services vaccine requirement contained in 86 Fed. Reg. 61555 (2021) may require an employee or an applicant for employment to provide documentation certifying the employee's or applicant's COVID-19 vaccination.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418, Government Code, is amended by adding Section 184.196, Section 184.197, and Section 184.198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418.196.</w:t>
      </w:r>
      <w:r>
        <w:rPr>
          <w:u w:val="single"/>
        </w:rPr>
        <w:t xml:space="preserve"> </w:t>
      </w:r>
      <w:r>
        <w:rPr>
          <w:u w:val="single"/>
        </w:rPr>
        <w:t xml:space="preserve"> </w:t>
      </w:r>
      <w:r>
        <w:rPr>
          <w:u w:val="single"/>
        </w:rPr>
        <w:t xml:space="preserve">BAN ON COVID-19-RELATED BUSINESS CLOSURES OR LIMITATIONS.  This state, a state agency, a public health authority, or the governing body of a political subdivision or its presiding officer shall not issue an order, enact an ordinance, or take any other action having the force and effect of law that would limit or prohibit any business activity or services in response to the COVID-19 pandemic.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418.197.</w:t>
      </w:r>
      <w:r>
        <w:rPr>
          <w:u w:val="single"/>
        </w:rPr>
        <w:t xml:space="preserve"> </w:t>
      </w:r>
      <w:r>
        <w:rPr>
          <w:u w:val="single"/>
        </w:rPr>
        <w:t xml:space="preserve"> </w:t>
      </w:r>
      <w:r>
        <w:rPr>
          <w:u w:val="single"/>
        </w:rPr>
        <w:t xml:space="preserve">BAN ON COVID-19-RELATED SCHOOL CLOSURES OR LIMITATIONS.  This state, a state agency, a public school district, an open-enrollment charter school, a public health authority, or the governing body of a political subdivision or its presiding officer may not issue an order, enact an ordinance, or take any other action having the force and effect of law that would limit or prohibit any school activity or service in response to the COVID-19 pandemic.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418.198.</w:t>
      </w:r>
      <w:r>
        <w:rPr>
          <w:u w:val="single"/>
        </w:rPr>
        <w:t xml:space="preserve"> </w:t>
      </w:r>
      <w:r>
        <w:rPr>
          <w:u w:val="single"/>
        </w:rPr>
        <w:t xml:space="preserve"> </w:t>
      </w:r>
      <w:r>
        <w:rPr>
          <w:u w:val="single"/>
        </w:rPr>
        <w:t xml:space="preserve">LIMITATION ON AUTHORITY OF GOVERNMENTAL ENTITY TO MANDATE CERTAIN FACE COVERINGS.  (a) </w:t>
      </w:r>
      <w:r>
        <w:rPr>
          <w:u w:val="single"/>
        </w:rPr>
        <w:t xml:space="preserve"> </w:t>
      </w:r>
      <w:r>
        <w:rPr>
          <w:u w:val="single"/>
        </w:rPr>
        <w:t xml:space="preserve">In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or 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a county, a public school district, open-enrollment charter school, a public health authority, or other political subdivision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or employee of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Subsection (c), a governmental entity may not adopt or enforce an ordinance, order, or other measure that requires an individual to wear a face covering in response to the COVID-19 pandemic.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prescribed by Subsection (b)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supported living center, as defined by Section 531.002, Health and Safety Code, that is complying with directives given by the Texas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that is owned by a governmental entity that is complying with directives established by the governmental entity that owns the hospital;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 jail, a county jail, or a facility operated by the Texas Department of Criminal Justice or the Texas Juvenile Justice Department that is complying with directives established by the Texas Commission on Jail Standards.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