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88R20305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 Meza</w:t>
      </w:r>
      <w:r xml:space="preserve">
        <w:tab wTab="150" tlc="none" cTlc="0"/>
      </w:r>
      <w:r>
        <w:t xml:space="preserve">H.B.</w:t>
      </w:r>
      <w:r xml:space="preserve">
        <w:t> </w:t>
      </w:r>
      <w:r>
        <w:t xml:space="preserve">No.</w:t>
      </w:r>
      <w:r xml:space="preserve">
        <w:t> </w:t>
      </w:r>
      <w:r>
        <w:t xml:space="preserve">4845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bullying prevention pilot program for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37.0835.</w:t>
      </w:r>
      <w:r>
        <w:rPr>
          <w:u w:val="single"/>
        </w:rPr>
        <w:t xml:space="preserve"> </w:t>
      </w:r>
      <w:r>
        <w:rPr>
          <w:u w:val="single"/>
        </w:rPr>
        <w:t xml:space="preserve"> </w:t>
      </w:r>
      <w:r>
        <w:rPr>
          <w:u w:val="single"/>
        </w:rPr>
        <w:t xml:space="preserve">BULLYING PREVENTION PILOT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"Bullying" has the meaning assigned by Section 37.0832.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"Pilot program" means the bullying prevention pilot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bullying prevention pilot program to reduce incidents of bullying on public school campuses;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award grants to eligible school districts to implement the pilot program on district campuses.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the pilot program under Subsection (b),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research-based best practices for the prevention of bullying;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with qualified experts and researchers with experience in child and youth psychology, mental health, and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funds appropriated for the purpose, the commissioner shall award grants to school districts that demonstrate a substantial need for bullying prevention, as determined by the commissioner.  A school district that is awarded a grant under this subsection shall implement the pilot program at not more than three campuses in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use funds appropriated for purposes of the pilot program under this section to provide technical assistance to grant recipients.  The agency may provide technical assistance through regional education service centers.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application criteria for a school district to apply to receive a grant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allowable uses of grant funds by a school district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may use funds otherwise available and may solicit or accept grants or donations to implement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is not required to develop the pilot program or award grants under this section unless money is specifically appropriated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