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88R20305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4845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4845:</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4845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bullying prevention pilot program for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37.0835.</w:t>
      </w:r>
      <w:r>
        <w:rPr>
          <w:u w:val="single"/>
        </w:rPr>
        <w:t xml:space="preserve"> </w:t>
      </w:r>
      <w:r>
        <w:rPr>
          <w:u w:val="single"/>
        </w:rPr>
        <w:t xml:space="preserve"> </w:t>
      </w:r>
      <w:r>
        <w:rPr>
          <w:u w:val="single"/>
        </w:rPr>
        <w:t xml:space="preserve">BULLYING PREVENTION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"Bullying" has the meaning assigned by Section 37.0832.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bullying prevention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bullying prevention pilot program to reduce incidents of bullying on public school campuses;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 grants to eligible school districts to implement the pilot program on district campuses.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pilot program under Subsection (b),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the prevention of bullying;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qualified experts and researchers with experience in child and youth psychology, mental health, and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for the purpose, the commissioner shall award grants to school districts that demonstrate a substantial need for bullying prevention, as determined by the commissioner.  A school district that is awarded a grant under this subsection shall implement the pilot program at not more than three campuses 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use funds appropriated for purposes of the pilot program under this section to provide technical assistance to grant recipients.  The agency may provide technical assistance through regional education service centers.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application criteria for a school district to apply to receive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allowable uses of grant funds by a school district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use funds otherwise available and may solicit or accept grants or donations to implement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is not required to develop the pilot program or award grants under this section unless money is specifically appropriated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