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88R14440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4846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transportation planning by metropolitan planning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201.9911,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 transportation plan under this section, each metropolitan planning organization shall consider the transportation needs of individuals who receive services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Health and Human Services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201.9991, Transportation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metropolitan planning organization that requests financial assistance from the commission must submit evidence to the commission that transportation providers within the boundaries of the planning organization have considered meeting the transportation needs of individuals described by Section 201.9911(d), including by adjusting the providers' fixed routes to address the needs of those individuals.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