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4851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real and personal property owned and exclusively used by a labor organization for the organization's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LABOR ORGANIZATIONS.  (a) </w:t>
      </w:r>
      <w:r>
        <w:rPr>
          <w:u w:val="single"/>
        </w:rPr>
        <w:t xml:space="preserve"> </w:t>
      </w:r>
      <w:r>
        <w:rPr>
          <w:u w:val="single"/>
        </w:rPr>
        <w:t xml:space="preserve">In this section, "labor organization" means an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101.251,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exempt from federal income taxation under Section 501(a), Internal Revenue Code of 1986, as an organization described by Section 501(c)(5)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is entitled to an exemption from taxation of the total appraised value of the real and personal property owned and exclusively used by the organization for the organization's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the real and personal property owned and exclusively used by a labor organization for the organization's operations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