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88R25698 JES-F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Bailes,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4868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4868: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Oliverson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4868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operating requirements for farm mutual insurance companies related to insurance in force on rural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911.301, Insurance Code, is amended by amending Subsection (a) and adding Subsections (e) and (f)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In this section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"Census year" means a year in which the United States Census Bureau conducts a federal decennial census.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"Rural</w:t>
      </w:r>
      <w:r>
        <w:t xml:space="preserve">[</w:t>
      </w:r>
      <w:r>
        <w:rPr>
          <w:strike/>
        </w:rPr>
        <w:t xml:space="preserve">, "rural</w:t>
      </w:r>
      <w:r>
        <w:t xml:space="preserve">] property" means property located outside an area of land subject to the taxing authority of a municipality with a population of more than </w:t>
      </w:r>
      <w:r>
        <w:rPr>
          <w:u w:val="single"/>
        </w:rPr>
        <w:t xml:space="preserve">6,500, adjusted in accordance with Subsection (e)</w:t>
      </w:r>
      <w:r>
        <w:t xml:space="preserve"> [</w:t>
      </w:r>
      <w:r>
        <w:rPr>
          <w:strike/>
        </w:rPr>
        <w:t xml:space="preserve">2,500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January 1 of the second year following a census year, the population limit described by Subsection (a)(2) increases or decreases by a percentage that is equal to the percentage increase or decrease in the population of this state from the previous decennial census.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November 1 of the year following a census year, the commissioner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compute the new population limit in accordance with Subsection (e);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publish the limit on the department's Internet website.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4868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