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88R25604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4873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4873:</w:t>
      </w: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C.S.H.B.</w:t>
      </w:r>
      <w:r xml:space="preserve">
        <w:t> </w:t>
      </w:r>
      <w:r>
        <w:t xml:space="preserve">No.</w:t>
      </w:r>
      <w:r xml:space="preserve">
        <w:t> </w:t>
      </w:r>
      <w:r>
        <w:t xml:space="preserve">4873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1701, Occupations Code, is amended by adding Sections 1701.165 and 1701.166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1701.165.</w:t>
      </w:r>
      <w:r>
        <w:rPr>
          <w:u w:val="single"/>
        </w:rPr>
        <w:t xml:space="preserve"> </w:t>
      </w:r>
      <w:r>
        <w:rPr>
          <w:u w:val="single"/>
        </w:rPr>
        <w:t xml:space="preserve"> </w:t>
      </w:r>
      <w:r>
        <w:rPr>
          <w:u w:val="single"/>
        </w:rPr>
        <w:t xml:space="preserve">STANDARDS OF CONDUCT. </w:t>
      </w:r>
      <w:r>
        <w:rPr>
          <w:u w:val="single"/>
        </w:rPr>
        <w:t xml:space="preserve"> </w:t>
      </w:r>
      <w:r>
        <w:rPr>
          <w:u w:val="single"/>
        </w:rPr>
        <w:t xml:space="preserve">(a) </w:t>
      </w:r>
      <w:r>
        <w:rPr>
          <w:u w:val="single"/>
        </w:rPr>
        <w:t xml:space="preserve"> </w:t>
      </w:r>
      <w:r>
        <w:rPr>
          <w:u w:val="single"/>
        </w:rPr>
        <w:t xml:space="preserve">The commission by rule shall prescribe standards of conduct for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of conduct must establish minimum standards with respect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pursuit of a suspect;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arrest and control tactics;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executing high-risk warrants;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conducting traffic stops, including a uniform standard for conducting a traffic stop for an offense punishable by fine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biennially review and update the standards of conduct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1701.166.</w:t>
      </w:r>
      <w:r>
        <w:rPr>
          <w:u w:val="single"/>
        </w:rPr>
        <w:t xml:space="preserve"> </w:t>
      </w:r>
      <w:r>
        <w:rPr>
          <w:u w:val="single"/>
        </w:rPr>
        <w:t xml:space="preserve"> </w:t>
      </w:r>
      <w:r>
        <w:rPr>
          <w:u w:val="single"/>
        </w:rPr>
        <w:t xml:space="preserve">SUBMISSION OF REVOKED LICENSE TO NATIONAL DATABASE.  (a) </w:t>
      </w:r>
      <w:r>
        <w:rPr>
          <w:u w:val="single"/>
        </w:rPr>
        <w:t xml:space="preserve"> </w:t>
      </w:r>
      <w:r>
        <w:rPr>
          <w:u w:val="single"/>
        </w:rPr>
        <w:t xml:space="preserve">In this section, "national misconduct database" means the National Decertification Index maintained by the International Association of Directors of Law Enforcement Standards and Training, or a similar database selected by the commission that serves as a registry for the revocation of officer licenses in several jurisdictions based on misconduct committed by the officer.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submit to the national misconduct database information necessary to create a record in the database for each officer license the commission revokes under Section 1701.501(a-1) or 1701.4521.</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1701, Occupations Code, is amended by adding Sections 1701.2025 and 1701.2026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1701.2025.</w:t>
      </w:r>
      <w:r>
        <w:rPr>
          <w:u w:val="single"/>
        </w:rPr>
        <w:t xml:space="preserve"> </w:t>
      </w:r>
      <w:r>
        <w:rPr>
          <w:u w:val="single"/>
        </w:rPr>
        <w:t xml:space="preserve"> </w:t>
      </w:r>
      <w:r>
        <w:rPr>
          <w:u w:val="single"/>
        </w:rPr>
        <w:t xml:space="preserve">PANEL TO INVESTIGATE VIOLATIONS OF STANDARDS OF CONDUCT.  (a) The governor shall appoint a panel to investigate alleged violations of the standards of conduct adopted under Section 1701.165.</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consists of nine members appointed by the governor as follows: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of the commission, who serves as presiding officer of the panel;</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of the Texas Indigent Defense Commission;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peace officer licensed under this chapter selected from a list of six names provided to the governor by the president, or the president's designee, of the Combined Law Enforcement Associations of Texas, or its successor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peace officer licensed under this chapter selected from a list of six names provided to the governor by the president, or the president's designee, of the Texas Municipal Police Association, or its successor organization;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peace officer licensed under this chapter from a list of three names provided by the president, or the president's designee, of the Sheriffs' Association of Texas, or its successor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peace officer licensed under this chapter from a list of three names provided by the president, or the president's designee, of the Texas Police Chiefs Association, or its successor organization;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three persons, each of whom: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a resident of this state for at least one year before the date of appointment;</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meets the minimum age for obtaining a license as an officer as provided by Section 1701.309;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disqualified under this chapter from obtaining a license as an officer.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panel serve two-year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panel shall meet at the call of the presiding officer.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panel is not entitled to compensation for service on the panel but is entitled to reimbursement for expenses incurred in performing official duties as a member of the panel,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1701.2026.</w:t>
      </w:r>
      <w:r>
        <w:rPr>
          <w:u w:val="single"/>
        </w:rPr>
        <w:t xml:space="preserve"> </w:t>
      </w:r>
      <w:r>
        <w:rPr>
          <w:u w:val="single"/>
        </w:rPr>
        <w:t xml:space="preserve"> </w:t>
      </w:r>
      <w:r>
        <w:rPr>
          <w:u w:val="single"/>
        </w:rPr>
        <w:t xml:space="preserve">ADMINISTRATIVE SUBPOENA.  (a) In the investigation of an alleged violation of a standard of conduct adopted under Section 1701.165, the commission or the panel established under Section 1701.2025 may request and, if necessary, compel by subpoena: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attendance of a witness for examination under oath;</w:t>
      </w:r>
      <w:r>
        <w:rPr>
          <w:u w:val="single"/>
        </w:rPr>
        <w:t xml:space="preserve"> </w:t>
      </w:r>
      <w:r>
        <w:rPr>
          <w:u w:val="single"/>
        </w:rPr>
        <w:t xml:space="preserv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production for inspection and copying of records, documents, and other evidence relevant to the investigation, including the personnel files and other employee records regarding the person who is the subject of the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panel, as applicable,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Venue for an action brought under Subsection (b) is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w:t>
      </w:r>
      <w:r>
        <w:rPr>
          <w:u w:val="single"/>
        </w:rPr>
        <w:t xml:space="preserve"> </w:t>
      </w:r>
      <w:r>
        <w:rPr>
          <w:u w:val="single"/>
        </w:rPr>
        <w:t xml:space="preserve"> </w:t>
      </w:r>
      <w:r>
        <w:rPr>
          <w:u w:val="single"/>
        </w:rPr>
        <w:t xml:space="preserve">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county of proper venue as provided by Chapter 15, Civil Practices and Remedies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compliance with the subpoena if the court finds that good cause exists to issue the subpoena.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for the attendance of a witness by videoconference in response to a subpoena issued under this 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1701.3135.</w:t>
      </w:r>
      <w:r>
        <w:rPr>
          <w:u w:val="single"/>
        </w:rPr>
        <w:t xml:space="preserve"> </w:t>
      </w:r>
      <w:r>
        <w:rPr>
          <w:u w:val="single"/>
        </w:rPr>
        <w:t xml:space="preserve"> </w:t>
      </w:r>
      <w:r>
        <w:rPr>
          <w:u w:val="single"/>
        </w:rPr>
        <w:t xml:space="preserve">DISQUALIFICATION: REVOCATION OR SUSPENSION IN ANOTHER STATE. </w:t>
      </w:r>
      <w:r>
        <w:rPr>
          <w:u w:val="single"/>
        </w:rPr>
        <w:t xml:space="preserve"> </w:t>
      </w:r>
      <w:r>
        <w:rPr>
          <w:u w:val="single"/>
        </w:rPr>
        <w:t xml:space="preserve">A person is disqualified to be an officer, and the commission may not issue an officer license to the person, if the person has been issued a license or other authorization to act as an officer in another state and the license or authorization was revoked or suspended.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1701.501,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(d) and Section 1701.5015, the commission may revoke or suspend a license, place on probation a person whose license has been suspended, or reprimand a license holder for violating a standard of conduct adopted under Section 1701.165.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K, Chapter 1701, Occupations Code, is amended by adding Section 1701.5015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1701.5015.</w:t>
      </w:r>
      <w:r>
        <w:rPr>
          <w:u w:val="single"/>
        </w:rPr>
        <w:t xml:space="preserve"> </w:t>
      </w:r>
      <w:r>
        <w:rPr>
          <w:u w:val="single"/>
        </w:rPr>
        <w:t xml:space="preserve"> </w:t>
      </w:r>
      <w:r>
        <w:rPr>
          <w:u w:val="single"/>
        </w:rPr>
        <w:t xml:space="preserve">PANEL APPROVAL REQUIRED FOR CERTAIN DISCIPLINARY ACTIONS.  The commission may not take disciplinary action against an officer for an alleged violation of a standard of conduct adopted under Section 1701.165 unless the panel established under Section 1701.2025, by a two-thirds vote, determines the violation occurred and recommends the disciplinary action.</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January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prescribe the standards of conduct required by Section 1701.165,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necessary to implement Chapter 1701, Occupations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2024, the governor shall appoint members to the panel established under Section 1701.2025, Occupations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1701.3135, Occupations Code, as added by this Act, applies only to an application for an officer license submitted under Chapter 1701, Occupations Code,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standards of conduct required by Section 1701.165, Occupations Code, as added by this Act, apply only to conduct that occurs on or after January 1, 2024. </w:t>
      </w:r>
      <w:r>
        <w:t xml:space="preserve"> </w:t>
      </w:r>
      <w:r>
        <w:t xml:space="preserve">Conduct that occurs before January 1, 2024,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