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4875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law enforcement agency policy regarding drug and alcohol testing of peace officers involved in certain injuries or deaths.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2.1391.</w:t>
      </w:r>
      <w:r>
        <w:rPr>
          <w:u w:val="single"/>
        </w:rPr>
        <w:t xml:space="preserve"> </w:t>
      </w:r>
      <w:r>
        <w:rPr>
          <w:u w:val="single"/>
        </w:rPr>
        <w:t xml:space="preserve"> </w:t>
      </w:r>
      <w:r>
        <w:rPr>
          <w:u w:val="single"/>
        </w:rPr>
        <w:t xml:space="preserve">LAW ENFORCEMENT POLICY ON DRUG AND ALCOHOL TESTING AFTER OFFICER-INVOLVED INJURIES OR DEATHS.  (a)  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"Deadly weapon" has the meaning assigned by Article 2.139.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 enforcement agency" has the meaning assigned by Article 2.132.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"Officer-involved injury or death" means any serious bodily injury or death caused by a peace officer acting under the</w:t>
      </w:r>
      <w:r>
        <w:rPr>
          <w:u w:val="single"/>
        </w:rPr>
        <w:t xml:space="preserve"> authority of a political subdivision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in this state shall adopt a detailed written policy requiring a peace officer who causes an officer-involved injury or death to submit to the agency, not later than two hours after the officer-involved injury or death, a specimen of the officer's blood, urine, or other bodily substance to assess: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blood alcohol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there is a controlled substance in the officer's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Each law enforcement agency in this state shall adopt the policy required by Article 2.1391, Code of Criminal Procedure,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