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88R23980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DeAyala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4882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4882: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4882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review by a local law enforcement agency of a school district's multihazard emergency operations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37.2071, Education Code, is amended by adding Subsections (a-1), (h-1), and (h-2)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submitting a multihazard emergency operations plan to the center at the center's request under Subsection (b), a school district shall request provisional feedback from the center regarding the plan. </w:t>
      </w:r>
      <w:r>
        <w:rPr>
          <w:u w:val="single"/>
        </w:rPr>
        <w:t xml:space="preserve"> </w:t>
      </w:r>
      <w:r>
        <w:rPr>
          <w:u w:val="single"/>
        </w:rPr>
        <w:t xml:space="preserve">The school district shall make adjustments to its plan as necessary.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approval of a plan by the center under this section, a school district shall submit its plan to an appropriate local law enforcement agency for review and to provide suggestions on the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(h-1), an appropriate local law enforcement agency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police department, if the district employs and commissions at least 20 full-time peace officers;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police department of a municipality in which the district is located;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emergency management agency of a county in which the district is located, if applicable;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sheriff of the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4882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