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88R12609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H.B.</w:t>
      </w:r>
      <w:r xml:space="preserve">
        <w:t> </w:t>
      </w:r>
      <w:r>
        <w:t xml:space="preserve">No.</w:t>
      </w:r>
      <w:r xml:space="preserve">
        <w:t> </w:t>
      </w:r>
      <w:r>
        <w:t xml:space="preserve">4884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prohibited discrimination by health care providers based on an individual's age, race, disability, immigration status, sex, sexual orientation, or gender identity or expression.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531.0333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531.0333.</w:t>
      </w:r>
      <w:r>
        <w:rPr>
          <w:u w:val="single"/>
        </w:rPr>
        <w:t xml:space="preserve"> </w:t>
      </w:r>
      <w:r>
        <w:rPr>
          <w:u w:val="single"/>
        </w:rPr>
        <w:t xml:space="preserve"> </w:t>
      </w:r>
      <w:r>
        <w:rPr>
          <w:u w:val="single"/>
        </w:rPr>
        <w:t xml:space="preserve">PROHIBITED DISCRIMINATION BY HEALTH CARE PROVIDER BASED ON GENDER IDENTITY OR EXPRESSION.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"Disability"</w:t>
      </w:r>
      <w:r>
        <w:rPr>
          <w:u w:val="single"/>
        </w:rPr>
        <w:t xml:space="preserve"> </w:t>
      </w:r>
      <w:r>
        <w:rPr>
          <w:u w:val="single"/>
        </w:rPr>
        <w:t xml:space="preserve">has the meaning assigned by Section 21.002, Labor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"Gender identity or expression" means having or being perceived as having a gender-related identity, appearance, expression, or behavior, regardless of whether that identity, appearance, expression, or behavior is different from that commonly associated with the individual's actual or perceived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provider may not refuse to provide health care services to a patient or enter into a contract for the provision of health care services to a patient solely because of a patient's age, race, disability, immigration status, sex, sexual orientation, or gender identity or expression.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that violates this section is not eligible to receive money from this state for services provided to patients, including through the medical assistance program under Chapter 32, Human Resources Code, or through the child health plan program under Chapter 62,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