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Lozano, Morales Shaw</w:t>
      </w:r>
      <w:r xml:space="preserve">
        <w:tab wTab="150" tlc="none" cTlc="0"/>
      </w:r>
      <w:r>
        <w:t xml:space="preserve">H.B.</w:t>
      </w:r>
      <w:r xml:space="preserve">
        <w:t> </w:t>
      </w:r>
      <w:r>
        <w:t xml:space="preserve">No.</w:t>
      </w:r>
      <w:r xml:space="preserve">
        <w:t> </w:t>
      </w:r>
      <w:r>
        <w:t xml:space="preserve">4885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programs established and funded under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Texas hydrogen infrastructure, vehicle, and equipment grant program established under Subchapter 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386.154, Health and Safety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The incentive under Subsection (d) is limited to </w:t>
      </w:r>
      <w:r>
        <w:rPr>
          <w:u w:val="single"/>
        </w:rPr>
        <w:t xml:space="preserve">4,000</w:t>
      </w:r>
      <w:r>
        <w:t xml:space="preserve"> </w:t>
      </w:r>
      <w:r>
        <w:t xml:space="preserve">[</w:t>
      </w:r>
      <w:r>
        <w:rPr>
          <w:strike/>
        </w:rPr>
        <w:t xml:space="preserve">2,000</w:t>
      </w:r>
      <w:r>
        <w:t xml:space="preserve">] vehicles for each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Subsections (c) and (e), and subject to Section 386.252(a)(11), at the beginning of the second state fiscal year of the biennium, the commission shall adjust the initial vehicle limitations provided under Subsections (c) and (e) based on demand for incentives under this section during the preceding state fiscal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386.252(a),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rPr>
          <w:u w:val="single"/>
        </w:rPr>
        <w:t xml:space="preserve">eight</w:t>
      </w:r>
      <w:r>
        <w:t xml:space="preserve"> [</w:t>
      </w:r>
      <w:r>
        <w:rPr>
          <w:strike/>
        </w:rPr>
        <w:t xml:space="preserve">three</w:t>
      </w:r>
      <w:r>
        <w:t xml:space="preserve">] percent </w:t>
      </w:r>
      <w:r>
        <w:rPr>
          <w:u w:val="single"/>
        </w:rPr>
        <w:t xml:space="preserve">total</w:t>
      </w:r>
      <w:r>
        <w:t xml:space="preserve"> may be used </w:t>
      </w:r>
      <w:r>
        <w:rPr>
          <w:u w:val="single"/>
        </w:rPr>
        <w:t xml:space="preserve">between the Texas hydrogen infrastructure, vehicle, and equipment grant program established under Subchapter G and</w:t>
      </w:r>
      <w:r>
        <w:t xml:space="preserve"> [</w:t>
      </w:r>
      <w:r>
        <w:rPr>
          <w:strike/>
        </w:rPr>
        <w:t xml:space="preserve">for</w:t>
      </w:r>
      <w:r>
        <w:t xml:space="preserve">] the new technology implementation grant program under Chapter 391, from which at least $1 million will be set aside for electricity storage projects related to renewable energy </w:t>
      </w:r>
      <w:r>
        <w:rPr>
          <w:u w:val="single"/>
        </w:rPr>
        <w:t xml:space="preserve">and not more than $8 million may be used for the Texas hydrogen infrastructure, vehicle, and equipment grant program</w:t>
      </w:r>
      <w:r>
        <w:t xml:space="preserve">;</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rPr>
          <w:u w:val="single"/>
        </w:rPr>
        <w:t xml:space="preserve">7.5</w:t>
      </w:r>
      <w:r>
        <w:t xml:space="preserve"> [</w:t>
      </w:r>
      <w:r>
        <w:rPr>
          <w:strike/>
        </w:rPr>
        <w:t xml:space="preserve">10</w:t>
      </w:r>
      <w:r>
        <w:t xml:space="preserve">]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393,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w:t>
      </w:r>
      <w:r>
        <w:rPr>
          <w:u w:val="single"/>
        </w:rPr>
        <w:t xml:space="preserve">15 percent</w:t>
      </w:r>
      <w:r>
        <w:t xml:space="preserve"> [</w:t>
      </w:r>
      <w:r>
        <w:rPr>
          <w:strike/>
        </w:rPr>
        <w:t xml:space="preserve">$16 million</w:t>
      </w:r>
      <w:r>
        <w:t xml:space="preserve">]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rPr>
          <w:u w:val="single"/>
        </w:rPr>
        <w:t xml:space="preserve">3.5</w:t>
      </w:r>
      <w:r>
        <w:t xml:space="preserve"> [</w:t>
      </w:r>
      <w:r>
        <w:rPr>
          <w:strike/>
        </w:rPr>
        <w:t xml:space="preserve">five</w:t>
      </w:r>
      <w:r>
        <w:t xml:space="preser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w:t>
      </w:r>
      <w:r>
        <w:rPr>
          <w:u w:val="single"/>
        </w:rPr>
        <w:t xml:space="preserve">$500,000</w:t>
      </w:r>
      <w:r>
        <w:t xml:space="preserve"> </w:t>
      </w:r>
      <w:r>
        <w:t xml:space="preserve">[</w:t>
      </w:r>
      <w:r>
        <w:rPr>
          <w:strike/>
        </w:rPr>
        <w:t xml:space="preserve">$216,000</w:t>
      </w:r>
      <w:r>
        <w:t xml:space="preserve">] may be used by the commission to contract with the Energy Systems Laboratory at the Texas A&amp;M Engineering Experiment Station annually for the development and annual computation of creditable statewide emissions reductions </w:t>
      </w:r>
      <w:r>
        <w:rPr>
          <w:u w:val="single"/>
        </w:rPr>
        <w:t xml:space="preserve">for the state implementation plan that are</w:t>
      </w:r>
      <w:r>
        <w:t xml:space="preserve"> obtained through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wind and other renewable energy resources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energy efficiency programs administered by the Public Utility Commission of Texas or the State Energy Conservation Office;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advanced building energy codes</w:t>
      </w:r>
      <w:r>
        <w:t xml:space="preserve"> [</w:t>
      </w:r>
      <w:r>
        <w:rPr>
          <w:strike/>
        </w:rPr>
        <w:t xml:space="preserve">for the state implementation plan</w:t>
      </w:r>
      <w:r>
        <w:t xml:space="preserve">];</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386, Health and Safety Code, is amended by adding Subchapter G to read as follows:</w:t>
      </w:r>
    </w:p>
    <w:p w:rsidR="003F3435" w:rsidRDefault="0032493E">
      <w:pPr>
        <w:spacing w:line="480" w:lineRule="auto"/>
        <w:jc w:val="center"/>
      </w:pPr>
      <w:r>
        <w:rPr>
          <w:u w:val="single"/>
        </w:rPr>
        <w:t xml:space="preserve">SUBCHAPTER G. TEXAS HYDROGEN INFRASTRUCTURE, VEHICLE, AND EQUIPMENT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"Hydrogen vehicle or equipment" means a motor vehicle or piece of heavy-duty equipment that uses hydrogen to operate the vehicle or equipment, including through the use of hydrogen fuel cells or an internal combustion engine that runs on hydrogen.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hydrogen infrastructure, vehicle, and equipment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386.302.</w:t>
      </w:r>
      <w:r>
        <w:rPr>
          <w:u w:val="single"/>
        </w:rPr>
        <w:t xml:space="preserve"> </w:t>
      </w:r>
      <w:r>
        <w:rPr>
          <w:u w:val="single"/>
        </w:rPr>
        <w:t xml:space="preserve"> </w:t>
      </w:r>
      <w:r>
        <w:rPr>
          <w:u w:val="single"/>
        </w:rPr>
        <w:t xml:space="preserve">PROGRAM.  (a)  The commission shall establish and administer the Texas hydrogen infrastructure, vehicle, and equipment grant program to encourage the adoption of hydrogen infrastructure, vehicles, and equipment.  Under the program, the commission shall provide funding for eligible projects to offset the incremental cost of projects that reduce emissions of oxides of nitrogen from high-emitting sources in nonattainment areas and affected counties of this state.  The commission shall determine the eligibility of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implementation of hydrogen infrastructure projects;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lease of on-road or non-road hydrogen vehicles or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replacement of on-road or non-road vehicles or heavy-duty equipment with newer on-road or non-road hydrogen vehicles or equipment;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repower of on-road or non-road vehicles or heavy-duty equipment with engines that run on or are powered by hydrogen;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of hydrogen fuel.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project listed in Subsection (b) is not eligible if it is required by any state or federal law, rule or regulation, memorandum of agreement, or other legally binding document.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otherwise qualified project, regardless of the fact that the state implementation plan assumes that the change in vehicles, equipment,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hydrogen vehicle or equipment or facility required only by local law or regulation or by corporate or controlling board policy of a public or private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386.303.</w:t>
      </w:r>
      <w:r>
        <w:rPr>
          <w:u w:val="single"/>
        </w:rPr>
        <w:t xml:space="preserve"> </w:t>
      </w:r>
      <w:r>
        <w:rPr>
          <w:u w:val="single"/>
        </w:rPr>
        <w:t xml:space="preserve"> </w:t>
      </w:r>
      <w:r>
        <w:rPr>
          <w:u w:val="single"/>
        </w:rPr>
        <w:t xml:space="preserve">APPLICATION PACKAGE.  (a)  The commission shall develop a simple, standardized application package for grants under this subchapter.  The package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description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projects that are eligible for available funding;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selection criteria and evaluation process;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documentation;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a person or office to contact for more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example of the contract that an applicant will be required to execute before receiving a grant;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useful to inform the applicant and expedite the application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386.304.</w:t>
      </w:r>
      <w:r>
        <w:rPr>
          <w:u w:val="single"/>
        </w:rPr>
        <w:t xml:space="preserve"> </w:t>
      </w:r>
      <w:r>
        <w:rPr>
          <w:u w:val="single"/>
        </w:rPr>
        <w:t xml:space="preserve"> </w:t>
      </w:r>
      <w:r>
        <w:rPr>
          <w:u w:val="single"/>
        </w:rPr>
        <w:t xml:space="preserve">APPLICATION REVIEW PROCEDURES.  (a)  The commission shall review an application for a grant for a project authorized under this subchapter.  If the commission determines that an application is incomplete, the commission shall notify the applicant with an explanation of what is missing from the application.  The commission shall evaluate the completed application according to the appropriate project criteria.  Subject to available funding, the commission shall make a final determination on an application as soon as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every effort to expedite the application review process and to award grants to qualified projects in a timely manner.  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  The contract must incorporate provisions for recapturing grant money in proportion to any loss of emissions reductions compared with the volume of emissions reductions that was projected in awarding the grant.  Grant money recaptured under the contract provision shall be deposited in the fund and reallocated for other projects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w:t>
      </w:r>
      <w:r>
        <w:rPr>
          <w:u w:val="single"/>
        </w:rPr>
        <w:t xml:space="preserve">,</w:t>
      </w:r>
      <w:r>
        <w:t xml:space="preserve"> [</w:t>
      </w:r>
      <w:r>
        <w:rPr>
          <w:strike/>
        </w:rPr>
        <w:t xml:space="preserve">and</w:t>
      </w:r>
      <w:r>
        <w:t xml:space="preserve">] midstream</w:t>
      </w:r>
      <w:r>
        <w:rPr>
          <w:u w:val="single"/>
        </w:rPr>
        <w:t xml:space="preserve">, or downstream</w:t>
      </w:r>
      <w:r>
        <w:t xml:space="preserve"> oil and gas production, completions, gathering, storage, processing,</w:t>
      </w:r>
      <w:r>
        <w:t xml:space="preserve"> [</w:t>
      </w:r>
      <w:r>
        <w:rPr>
          <w:strike/>
        </w:rPr>
        <w:t xml:space="preserve">and</w:t>
      </w:r>
      <w:r>
        <w:t xml:space="preserve">] transmission</w:t>
      </w:r>
      <w:r>
        <w:rPr>
          <w:u w:val="single"/>
        </w:rPr>
        <w:t xml:space="preserve">, or refining</w:t>
      </w:r>
      <w:r>
        <w:t xml:space="preserve">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394.005(a),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criteria for prioritizing qualifying vehicles eligible to receive grants under this chapter.  The commission shall review and revise the criteria as appropriate.  </w:t>
      </w:r>
      <w:r>
        <w:rPr>
          <w:u w:val="single"/>
        </w:rPr>
        <w:t xml:space="preserve">The criteria must prioritize the awarding of grants under this chapter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vehicles for which not less than 75 percent of the annual use of the vehicle, either in terms of mileage or fuel use as determined by the commission, will occur in the clean transportation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vehicles not described by Subdivision (1) for which not less than 75 percent of the annual use of the vehicle, either in terms of mileage or fuel use as determined by the commission, will occur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counties in which an interstate highway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combination of counties described by Paragraph (A) and the clean transportation zone;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vehicles not described by Subdivision (1) or (2) that will produce the greatest emissions reductions.</w:t>
      </w:r>
    </w:p>
    <w:p w:rsidR="003F3435" w:rsidRDefault="0032493E">
      <w:pPr>
        <w:spacing w:line="480" w:lineRule="auto"/>
        <w:ind w:firstLine="720"/>
        <w:jc w:val="both"/>
      </w:pPr>
      <w:r>
        <w:t xml:space="preserve">(b)</w:t>
      </w:r>
      <w:r xml:space="preserve">
        <w:t> </w:t>
      </w:r>
      <w:r xml:space="preserve">
        <w:t> </w:t>
      </w:r>
      <w:r>
        <w:t xml:space="preserve">To be eligible for a grant under the program:</w:t>
      </w:r>
    </w:p>
    <w:p w:rsidR="003F3435" w:rsidRDefault="0032493E">
      <w:pPr>
        <w:spacing w:line="480" w:lineRule="auto"/>
        <w:ind w:firstLine="1440"/>
        <w:jc w:val="both"/>
      </w:pPr>
      <w:r>
        <w:t xml:space="preserve">(1)</w:t>
      </w:r>
      <w:r xml:space="preserve">
        <w:t> </w:t>
      </w:r>
      <w:r xml:space="preserve">
        <w:t> </w:t>
      </w:r>
      <w:r>
        <w:t xml:space="preserve">the use of the qualifying vehicle must be projected to result in a reduction in emissions of nitrogen oxides of at least 25 percent as compared to the motor vehicle or engine being replaced,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qualifying vehicle; and</w:t>
      </w:r>
    </w:p>
    <w:p w:rsidR="003F3435" w:rsidRDefault="0032493E">
      <w:pPr>
        <w:spacing w:line="480" w:lineRule="auto"/>
        <w:ind w:firstLine="1440"/>
        <w:jc w:val="both"/>
      </w:pPr>
      <w:r>
        <w:t xml:space="preserve">(2)</w:t>
      </w:r>
      <w:r xml:space="preserve">
        <w:t> </w:t>
      </w:r>
      <w:r xml:space="preserve">
        <w:t> </w:t>
      </w:r>
      <w:r>
        <w:t xml:space="preserve">the qualifying vehicle must:</w:t>
      </w:r>
    </w:p>
    <w:p w:rsidR="003F3435" w:rsidRDefault="0032493E">
      <w:pPr>
        <w:spacing w:line="480" w:lineRule="auto"/>
        <w:ind w:firstLine="2160"/>
        <w:jc w:val="both"/>
      </w:pPr>
      <w:r>
        <w:t xml:space="preserve">(A)</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2160"/>
        <w:jc w:val="both"/>
      </w:pPr>
      <w:r>
        <w:t xml:space="preserve">(B)</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owned by the applicant;</w:t>
      </w:r>
    </w:p>
    <w:p w:rsidR="003F3435" w:rsidRDefault="0032493E">
      <w:pPr>
        <w:spacing w:line="480" w:lineRule="auto"/>
        <w:ind w:firstLine="2880"/>
        <w:jc w:val="both"/>
      </w:pPr>
      <w:r>
        <w:t xml:space="preserve">(ii)</w:t>
      </w:r>
      <w:r xml:space="preserve">
        <w:t> </w:t>
      </w:r>
      <w:r xml:space="preserve">
        <w:t> </w:t>
      </w:r>
      <w:r>
        <w:t xml:space="preserve">is an on-road vehicle that has been:</w:t>
      </w:r>
    </w:p>
    <w:p w:rsidR="003F3435" w:rsidRDefault="0032493E">
      <w:pPr>
        <w:spacing w:line="480" w:lineRule="auto"/>
        <w:ind w:firstLine="3600"/>
        <w:jc w:val="both"/>
      </w:pPr>
      <w:r>
        <w:t xml:space="preserve">(a)</w:t>
      </w:r>
      <w:r xml:space="preserve">
        <w:t> </w:t>
      </w:r>
      <w:r xml:space="preserve">
        <w:t> </w:t>
      </w:r>
      <w:r>
        <w:t xml:space="preserve">owned, leased, or otherwise commercially financed and operated in Texas as a fleet vehicle for at least the two years immediately preceding the submission of a grant application; and</w:t>
      </w:r>
    </w:p>
    <w:p w:rsidR="003F3435" w:rsidRDefault="0032493E">
      <w:pPr>
        <w:spacing w:line="480" w:lineRule="auto"/>
        <w:ind w:firstLine="3600"/>
        <w:jc w:val="both"/>
      </w:pPr>
      <w:r>
        <w:t xml:space="preserve">(b)</w:t>
      </w:r>
      <w:r xml:space="preserve">
        <w:t> </w:t>
      </w:r>
      <w:r xml:space="preserve">
        <w:t> </w:t>
      </w:r>
      <w:r>
        <w:t xml:space="preserve">registered in </w:t>
      </w:r>
      <w:r>
        <w:rPr>
          <w:u w:val="single"/>
        </w:rPr>
        <w:t xml:space="preserve">Texas</w:t>
      </w:r>
      <w:r>
        <w:t xml:space="preserve"> [</w:t>
      </w:r>
      <w:r>
        <w:rPr>
          <w:strike/>
        </w:rPr>
        <w:t xml:space="preserve">a county located in the clean transportation zone</w:t>
      </w:r>
      <w:r>
        <w:t xml:space="preserve">] for at least the two years immediately preceding the submission of a grant application; and</w:t>
      </w:r>
    </w:p>
    <w:p w:rsidR="003F3435" w:rsidRDefault="0032493E">
      <w:pPr>
        <w:spacing w:line="480" w:lineRule="auto"/>
        <w:ind w:firstLine="2880"/>
        <w:jc w:val="both"/>
      </w:pPr>
      <w:r>
        <w:t xml:space="preserve">(iii)</w:t>
      </w:r>
      <w:r xml:space="preserve">
        <w:t> </w:t>
      </w:r>
      <w:r xml:space="preserve">
        <w:t> </w:t>
      </w:r>
      <w:r>
        <w:t xml:space="preserve">otherwise satisfies the mileage, usage, and useful life requirements established under Paragraph (A) as determined by documentation associated with the vehicle; or</w:t>
      </w:r>
    </w:p>
    <w:p w:rsidR="003F3435" w:rsidRDefault="0032493E">
      <w:pPr>
        <w:spacing w:line="480" w:lineRule="auto"/>
        <w:ind w:firstLine="2160"/>
        <w:jc w:val="both"/>
      </w:pPr>
      <w:r>
        <w:t xml:space="preserve">(C)</w:t>
      </w:r>
      <w:r xml:space="preserve">
        <w:t> </w:t>
      </w:r>
      <w:r xml:space="preserve">
        <w:t> </w:t>
      </w:r>
      <w:r>
        <w:t xml:space="preserve">be a heavy-duty or medium-duty motor vehicle repowered with a natural gas engine that:</w:t>
      </w:r>
    </w:p>
    <w:p w:rsidR="003F3435" w:rsidRDefault="0032493E">
      <w:pPr>
        <w:spacing w:line="480" w:lineRule="auto"/>
        <w:ind w:firstLine="2880"/>
        <w:jc w:val="both"/>
      </w:pPr>
      <w:r>
        <w:t xml:space="preserve">(i)</w:t>
      </w:r>
      <w:r xml:space="preserve">
        <w:t> </w:t>
      </w:r>
      <w:r xml:space="preserve">
        <w:t> </w:t>
      </w:r>
      <w:r>
        <w:t xml:space="preserve">is installed in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installed in an on-road vehicle that, at the time of the vehicle's repowering, was in operating condition and had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leased, or otherwise commercially financed and registered and operated in the state by the grant recipient until the earlier of the fourth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w:t>
      </w:r>
      <w:r>
        <w:rPr>
          <w:strike/>
        </w:rPr>
        <w:t xml:space="preserve">Not less than 75 percent of the annual use of the qualifying vehicle, either mileage or fuel use as determined by the commission, must occur in the clean transportation zone.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 grant awarded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