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Texas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Texas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Texas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r>
        <w:rPr>
          <w:u w:val="single"/>
        </w:rPr>
        <w:t xml:space="preserve">, including the grant program established under Section 386.184</w:t>
      </w:r>
      <w:r>
        <w:t xml:space="preserve">;</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 and</w:t>
      </w:r>
    </w:p>
    <w:p w:rsidR="003F3435" w:rsidRDefault="0032493E">
      <w:pPr>
        <w:spacing w:line="480" w:lineRule="auto"/>
        <w:ind w:firstLine="1440"/>
        <w:jc w:val="both"/>
      </w:pPr>
      <w:r>
        <w:t xml:space="preserve">(19)</w:t>
      </w:r>
      <w:r xml:space="preserve">
        <w:t> </w:t>
      </w:r>
      <w:r xml:space="preserve">
        <w:t> </w:t>
      </w:r>
      <w:r>
        <w:t xml:space="preserve">remittance of funds to the state highway fund for use by the Texas Department of Transportation for congestion mitigation and air quality improvement projects in nonattainment areas and affected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386.154, Health and Safety Code, is amended by amending Subsection (d) and adding Subsections (f) and (g) to read as follows:</w:t>
      </w:r>
    </w:p>
    <w:p w:rsidR="003F3435" w:rsidRDefault="0032493E">
      <w:pPr>
        <w:spacing w:line="480" w:lineRule="auto"/>
        <w:ind w:firstLine="720"/>
        <w:jc w:val="both"/>
      </w:pPr>
      <w:r>
        <w:t xml:space="preserve">(d)</w:t>
      </w:r>
      <w:r xml:space="preserve">
        <w:t> </w:t>
      </w:r>
      <w:r xml:space="preserve">
        <w:t> </w:t>
      </w:r>
      <w:r>
        <w:t xml:space="preserve">A new light-duty motor vehicle powered by an electric drive is eligible for a $2,500 incentive if </w:t>
      </w:r>
      <w:r>
        <w:rPr>
          <w:u w:val="single"/>
        </w:rPr>
        <w:t xml:space="preserve">the total consideration, as defined by Section 152.002, Tax Code, of the vehicle is less than $55,000 and</w:t>
      </w:r>
      <w:r>
        <w:t xml:space="preserve">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(3)</w:t>
      </w:r>
      <w:r xml:space="preserve">
        <w:t> </w:t>
      </w:r>
      <w:r xml:space="preserve">
        <w:t> </w:t>
      </w:r>
      <w:r>
        <w:t xml:space="preserve">has not been modified from the original manufacturer's specifications;</w:t>
      </w:r>
    </w:p>
    <w:p w:rsidR="003F3435" w:rsidRDefault="0032493E">
      <w:pPr>
        <w:spacing w:line="480" w:lineRule="auto"/>
        <w:ind w:firstLine="1440"/>
        <w:jc w:val="both"/>
      </w:pPr>
      <w:r>
        <w:t xml:space="preserve">(4)</w:t>
      </w:r>
      <w:r xml:space="preserve">
        <w:t> </w:t>
      </w:r>
      <w:r xml:space="preserve">
        <w:t> </w:t>
      </w:r>
      <w:r>
        <w:t xml:space="preserve">has a maximum speed capability of at least 55 miles per hour;</w:t>
      </w:r>
    </w:p>
    <w:p w:rsidR="003F3435" w:rsidRDefault="0032493E">
      <w:pPr>
        <w:spacing w:line="480" w:lineRule="auto"/>
        <w:ind w:firstLine="1440"/>
        <w:jc w:val="both"/>
      </w:pPr>
      <w:r>
        <w:t xml:space="preserve">(5)</w:t>
      </w:r>
      <w:r xml:space="preserve">
        <w:t> </w:t>
      </w:r>
      <w:r xml:space="preserve">
        <w:t> </w:t>
      </w:r>
      <w:r>
        <w:t xml:space="preserve">is propelled to a significant extent by an electric motor that draws electricity from a hydrogen fuel cell or from a battery that:</w:t>
      </w:r>
    </w:p>
    <w:p w:rsidR="003F3435" w:rsidRDefault="0032493E">
      <w:pPr>
        <w:spacing w:line="480" w:lineRule="auto"/>
        <w:ind w:firstLine="2160"/>
        <w:jc w:val="both"/>
      </w:pPr>
      <w:r>
        <w:t xml:space="preserve">(A)</w:t>
      </w:r>
      <w:r xml:space="preserve">
        <w:t> </w:t>
      </w:r>
      <w:r xml:space="preserve">
        <w:t> </w:t>
      </w:r>
      <w:r>
        <w:t xml:space="preserve">has a capacity of not less than four kilowatt hours; and</w:t>
      </w:r>
    </w:p>
    <w:p w:rsidR="003F3435" w:rsidRDefault="0032493E">
      <w:pPr>
        <w:spacing w:line="480" w:lineRule="auto"/>
        <w:ind w:firstLine="2160"/>
        <w:jc w:val="both"/>
      </w:pPr>
      <w:r>
        <w:t xml:space="preserve">(B)</w:t>
      </w:r>
      <w:r xml:space="preserve">
        <w:t> </w:t>
      </w:r>
      <w:r xml:space="preserve">
        <w:t> </w:t>
      </w:r>
      <w:r>
        <w:t xml:space="preserve">is capable of being recharged from an external source of electricity;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is not designed, used, or maintained primarily to transport property; and</w:t>
      </w:r>
    </w:p>
    <w:p w:rsidR="003F3435" w:rsidRDefault="0032493E">
      <w:pPr>
        <w:spacing w:line="480" w:lineRule="auto"/>
        <w:ind w:firstLine="1440"/>
        <w:jc w:val="both"/>
      </w:pPr>
      <w:r>
        <w:rPr>
          <w:u w:val="single"/>
        </w:rPr>
        <w:t xml:space="preserve">(7)</w:t>
      </w:r>
      <w:r xml:space="preserve">
        <w:t> </w:t>
      </w:r>
      <w:r xml:space="preserve">
        <w:t> </w:t>
      </w:r>
      <w:r>
        <w:t xml:space="preserve">was </w:t>
      </w:r>
      <w:r>
        <w:rPr>
          <w:u w:val="single"/>
        </w:rPr>
        <w:t xml:space="preserve">sold or leased</w:t>
      </w:r>
      <w:r>
        <w:t xml:space="preserve"> [</w:t>
      </w:r>
      <w:r>
        <w:rPr>
          <w:strike/>
        </w:rPr>
        <w:t xml:space="preserve">acquired</w:t>
      </w:r>
      <w:r>
        <w:t xml:space="preserve">] on or after September 1, 2013, or a later date as established by the commission, by the </w:t>
      </w:r>
      <w:r>
        <w:rPr>
          <w:u w:val="single"/>
        </w:rPr>
        <w:t xml:space="preserve">seller or lessor</w:t>
      </w:r>
      <w:r>
        <w:t xml:space="preserve"> [</w:t>
      </w:r>
      <w:r>
        <w:rPr>
          <w:strike/>
        </w:rPr>
        <w:t xml:space="preserve">person</w:t>
      </w:r>
      <w:r>
        <w:t xml:space="preserve">] applying for the incentive under this subsection and for use or lease by </w:t>
      </w:r>
      <w:r>
        <w:rPr>
          <w:u w:val="single"/>
        </w:rPr>
        <w:t xml:space="preserve">the purchaser or lessee of the vehicle</w:t>
      </w:r>
      <w:r>
        <w:t xml:space="preserve"> [</w:t>
      </w:r>
      <w:r>
        <w:rPr>
          <w:strike/>
        </w:rPr>
        <w:t xml:space="preserve">that person</w:t>
      </w:r>
      <w:r>
        <w:t xml:space="preserve">] and not for resale.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light-duty motor vehicle powered by an electric drive is eligible for a $4,000 incentive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four wheels;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manufactured for use primarily on public streets, roads, and highways;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modified from the original manufacturer's specifications;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maximum speed capability of at least 55 miles per hour;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propelled solely by an electric motor that draws electricity from a battery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capacity of not less than four kilowatt hours;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capable of being recharged from an external source of electricity;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designed, used, or maintained primarily to transport property;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was sold or leased on or after September 1, 2024, or a later date as established by the commission, by the seller or lessor applying for the incentive under this subsection and for use or lease by the purchaser or lessee of the vehicle and not for resale.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Subsections (c) and (e), and subject to Section 386.252(a)(11), at the beginning of the second state fiscal year of the biennium, the commission shall adjust the initial vehicle limitations provided under Subsection (c) and (e) based on demand for incentives under this section during the preceding state fiscal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D-1, Chapter 386, Health and Safety Code, is amended by adding Section 386.184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386.184.</w:t>
      </w:r>
      <w:r>
        <w:rPr>
          <w:u w:val="single"/>
        </w:rPr>
        <w:t xml:space="preserve"> </w:t>
      </w:r>
      <w:r>
        <w:rPr>
          <w:u w:val="single"/>
        </w:rPr>
        <w:t xml:space="preserve"> </w:t>
      </w:r>
      <w:r>
        <w:rPr>
          <w:u w:val="single"/>
        </w:rPr>
        <w:t xml:space="preserve">GRANT PROGRAM FOR ALTERNATIVELY FUELED DRAYAGE TRUCK OR CARGO HANDLING EQUIPMENT INFRASTRUCTURE PROJECTS.  (a)  The commission shall establish and administer a grant program to encourage the purchase, construction, and installation of infrastructure needed in nonattainment areas and affected counties of this state to support the use of drayage trucks that are or cargo handling equipment that is powered by an alternative fuel, as defined by Section 393.001.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the program established by this section may not exceed more than 80 percent of the estimated purchase, construction, and installation costs of the infrastructure project, provided that the commission may establish a reasonable maximum amount of a grant awarded per infrastructure project as needed.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and after remittance to the state highway fund under Subsection (a-1),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eight</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 </w:t>
      </w:r>
      <w:r>
        <w:rPr>
          <w:u w:val="single"/>
        </w:rPr>
        <w:t xml:space="preserve">and not more than $8 million may be used for hydrogen infrastructure and vehicles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7.5</w:t>
      </w:r>
      <w:r>
        <w:t xml:space="preserve"> [</w:t>
      </w:r>
      <w:r>
        <w:rPr>
          <w:strike/>
        </w:rPr>
        <w:t xml:space="preserve">five</w:t>
      </w:r>
      <w:r>
        <w:t xml:space="preserve">] percent may be used for the Texas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rPr>
          <w:u w:val="single"/>
        </w:rPr>
        <w:t xml:space="preserve">five</w:t>
      </w:r>
      <w:r>
        <w:t xml:space="preserve"> [</w:t>
      </w:r>
      <w:r>
        <w:rPr>
          <w:strike/>
        </w:rPr>
        <w:t xml:space="preserve">10</w:t>
      </w:r>
      <w:r>
        <w:t xml:space="preserve">]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rPr>
          <w:u w:val="single"/>
        </w:rPr>
        <w:t xml:space="preserve">eight percent</w:t>
      </w:r>
      <w:r>
        <w:t xml:space="preserve"> [</w:t>
      </w:r>
      <w:r>
        <w:rPr>
          <w:strike/>
        </w:rPr>
        <w:t xml:space="preserve">not more than $6 million</w:t>
      </w:r>
      <w:r>
        <w:t xml:space="preserve">] may be used for the Texas alternative fueling facilities program under Chapter 393[</w:t>
      </w:r>
      <w:r>
        <w:rPr>
          <w:strike/>
        </w:rPr>
        <w:t xml:space="preserve">, of which a specified amount may be used for fueling stations to provide natural gas fuel, except that money may not be allocated for the Texas alternative fueling facilities program for the state fiscal year ending August 31, 2019</w:t>
      </w:r>
      <w:r>
        <w:t xml:space="preserve">];</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r>
        <w:rPr>
          <w:u w:val="single"/>
        </w:rPr>
        <w:t xml:space="preserve">, including the grant program established under Section 386.184</w:t>
      </w:r>
      <w:r>
        <w:t xml:space="preserve">;</w:t>
      </w:r>
    </w:p>
    <w:p w:rsidR="003F3435" w:rsidRDefault="0032493E">
      <w:pPr>
        <w:spacing w:line="480" w:lineRule="auto"/>
        <w:ind w:firstLine="1440"/>
        <w:jc w:val="both"/>
      </w:pPr>
      <w:r>
        <w:t xml:space="preserve">(11)</w:t>
      </w:r>
      <w:r xml:space="preserve">
        <w:t> </w:t>
      </w:r>
      <w:r xml:space="preserve">
        <w:t> </w:t>
      </w:r>
      <w:r>
        <w:rPr>
          <w:u w:val="single"/>
        </w:rPr>
        <w:t xml:space="preserve">2.5</w:t>
      </w:r>
      <w:r>
        <w:t xml:space="preserve"> [</w:t>
      </w:r>
      <w:r>
        <w:rPr>
          <w:strike/>
        </w:rPr>
        <w:t xml:space="preserve">five</w:t>
      </w:r>
      <w:r>
        <w:t xml:space="preser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 391.001, Health and Safety Code is amended to read as follows: </w:t>
      </w:r>
      <w:r>
        <w:t xml:space="preserve">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"Best available control technology" has the meaning assigned by Section 169 of the federal Clean Air Act (42 U.S.C. Section 7479(3)).</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"Facility" has the meaning assigned by Section 382.003.</w:t>
      </w:r>
    </w:p>
    <w:p w:rsidR="003F3435" w:rsidRDefault="0032493E">
      <w:pPr>
        <w:spacing w:line="480" w:lineRule="auto"/>
        <w:ind w:firstLine="1440"/>
        <w:jc w:val="both"/>
      </w:pPr>
      <w:r>
        <w:t xml:space="preserve">(4)</w:t>
      </w:r>
      <w:r xml:space="preserve">
        <w:t> </w:t>
      </w:r>
      <w:r xml:space="preserve">
        <w:t> </w:t>
      </w:r>
      <w:r>
        <w:t xml:space="preserve">"Incremental cost" has the meaning assigned by Section 386.001.</w:t>
      </w:r>
    </w:p>
    <w:p w:rsidR="003F3435" w:rsidRDefault="0032493E">
      <w:pPr>
        <w:spacing w:line="480" w:lineRule="auto"/>
        <w:ind w:firstLine="1440"/>
        <w:jc w:val="both"/>
      </w:pPr>
      <w:r>
        <w:t xml:space="preserve">(5)</w:t>
      </w:r>
      <w:r xml:space="preserve">
        <w:t> </w:t>
      </w:r>
      <w:r xml:space="preserve">
        <w:t> </w:t>
      </w:r>
      <w:r>
        <w:t xml:space="preserve">"New technology" means emissions control technology that results in emissions reductions that exceed state or federal requirements in effect at the time of submission of a new technology implementation grant application.</w:t>
      </w:r>
    </w:p>
    <w:p w:rsidR="003F3435" w:rsidRDefault="0032493E">
      <w:pPr>
        <w:spacing w:line="480" w:lineRule="auto"/>
        <w:ind w:firstLine="1440"/>
        <w:jc w:val="both"/>
      </w:pPr>
      <w:r>
        <w:t xml:space="preserve">(6)</w:t>
      </w:r>
      <w:r xml:space="preserve">
        <w:t> </w:t>
      </w:r>
      <w:r xml:space="preserve">
        <w:t> </w:t>
      </w:r>
      <w:r>
        <w:t xml:space="preserve">"Stationary source" has the meaning assigned by Section 302 of the federal Clean Air Act (42 U.S.C. Section 7602(z)).</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"Hydrogen vehicle" means a motor vehicle that uses hydrogen to operate the vehicle, including through the use of hydrogen fuel cells or an internal combustion engine that runs on hydrogen.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encourage the adoption of hydrogen infrastructure and vehicles,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implementation of hydrogen infrastructure projects;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or lease of on-road or non-road hydrogen vehicles;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replacement of on-road or non-road vehicles with newer on-road or non-road hydrogen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 of hydrogen fuel;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purchase or lease of hydrogen engines and heavy equipment.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Grants awarded under this chapter for a facility to provide alternative fuels other than natural gas may not exceed [</w:t>
      </w:r>
      <w:r>
        <w:rPr>
          <w:strike/>
        </w:rPr>
        <w:t xml:space="preserve">the lesser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50 percent of the sum of the actual eligible costs incurred by the grant recipient within deadlines established by the commission[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$600,000</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